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F1CD1">
      <w:pPr>
        <w:jc w:val="center"/>
        <w:rPr>
          <w:rFonts w:hint="eastAsia" w:ascii="微软雅黑" w:hAnsi="微软雅黑" w:eastAsia="微软雅黑" w:cs="微软雅黑"/>
          <w:sz w:val="44"/>
          <w:szCs w:val="44"/>
        </w:rPr>
      </w:pPr>
    </w:p>
    <w:p w14:paraId="4BC0B917">
      <w:pPr>
        <w:spacing w:before="146" w:line="219" w:lineRule="auto"/>
        <w:jc w:val="center"/>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spacing w:val="-1"/>
          <w:sz w:val="44"/>
          <w:szCs w:val="44"/>
          <w:lang w:eastAsia="zh-CN"/>
        </w:rPr>
        <w:t>益阳市水利局</w:t>
      </w:r>
      <w:r>
        <w:rPr>
          <w:rFonts w:hint="eastAsia" w:ascii="微软雅黑" w:hAnsi="微软雅黑" w:eastAsia="微软雅黑" w:cs="微软雅黑"/>
          <w:b w:val="0"/>
          <w:bCs w:val="0"/>
          <w:spacing w:val="-1"/>
          <w:sz w:val="44"/>
          <w:szCs w:val="44"/>
        </w:rPr>
        <w:t>涉企柔性执法“四张清单”</w:t>
      </w:r>
    </w:p>
    <w:p w14:paraId="04DA683A">
      <w:pPr>
        <w:spacing w:line="336" w:lineRule="auto"/>
        <w:rPr>
          <w:rFonts w:ascii="Arial"/>
          <w:sz w:val="21"/>
        </w:rPr>
      </w:pPr>
    </w:p>
    <w:p w14:paraId="71B4971F">
      <w:pPr>
        <w:spacing w:line="281" w:lineRule="auto"/>
        <w:rPr>
          <w:rFonts w:ascii="Arial"/>
          <w:sz w:val="21"/>
        </w:rPr>
      </w:pPr>
    </w:p>
    <w:p w14:paraId="5EE271A9">
      <w:pPr>
        <w:spacing w:before="104" w:line="220" w:lineRule="auto"/>
        <w:jc w:val="center"/>
        <w:rPr>
          <w:rFonts w:hint="eastAsia" w:ascii="方正小标宋简体" w:hAnsi="方正小标宋简体" w:eastAsia="方正小标宋简体" w:cs="方正小标宋简体"/>
          <w:b w:val="0"/>
          <w:bCs w:val="0"/>
          <w:spacing w:val="-3"/>
          <w:sz w:val="32"/>
          <w:szCs w:val="32"/>
        </w:rPr>
      </w:pPr>
      <w:r>
        <w:rPr>
          <w:rFonts w:hint="eastAsia" w:ascii="方正小标宋简体" w:hAnsi="方正小标宋简体" w:eastAsia="方正小标宋简体" w:cs="方正小标宋简体"/>
          <w:b w:val="0"/>
          <w:bCs w:val="0"/>
          <w:spacing w:val="-3"/>
          <w:sz w:val="32"/>
          <w:szCs w:val="32"/>
        </w:rPr>
        <w:t>不予处罚事项清单</w:t>
      </w:r>
    </w:p>
    <w:p w14:paraId="299C611E">
      <w:pPr>
        <w:spacing w:line="14" w:lineRule="exact"/>
      </w:pPr>
    </w:p>
    <w:tbl>
      <w:tblPr>
        <w:tblStyle w:val="9"/>
        <w:tblW w:w="143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2998"/>
        <w:gridCol w:w="1017"/>
        <w:gridCol w:w="3945"/>
        <w:gridCol w:w="4152"/>
        <w:gridCol w:w="1204"/>
      </w:tblGrid>
      <w:tr w14:paraId="7DA35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024" w:type="dxa"/>
            <w:vAlign w:val="top"/>
          </w:tcPr>
          <w:p w14:paraId="2ADED499">
            <w:pPr>
              <w:spacing w:before="204" w:line="221" w:lineRule="auto"/>
              <w:ind w:left="189"/>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pacing w:val="-6"/>
                <w:sz w:val="24"/>
                <w:szCs w:val="24"/>
              </w:rPr>
              <w:t>序号</w:t>
            </w:r>
          </w:p>
        </w:tc>
        <w:tc>
          <w:tcPr>
            <w:tcW w:w="2998" w:type="dxa"/>
            <w:vAlign w:val="top"/>
          </w:tcPr>
          <w:p w14:paraId="5316825E">
            <w:pPr>
              <w:spacing w:before="203" w:line="220" w:lineRule="auto"/>
              <w:ind w:left="645"/>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pacing w:val="-2"/>
                <w:sz w:val="24"/>
                <w:szCs w:val="24"/>
              </w:rPr>
              <w:t>行政处罚事项</w:t>
            </w:r>
          </w:p>
        </w:tc>
        <w:tc>
          <w:tcPr>
            <w:tcW w:w="1017" w:type="dxa"/>
            <w:vAlign w:val="top"/>
          </w:tcPr>
          <w:p w14:paraId="2525BE38">
            <w:pPr>
              <w:spacing w:before="201" w:line="219" w:lineRule="auto"/>
              <w:jc w:val="both"/>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pacing w:val="-2"/>
                <w:sz w:val="24"/>
                <w:szCs w:val="24"/>
              </w:rPr>
              <w:t>实施机关</w:t>
            </w:r>
          </w:p>
        </w:tc>
        <w:tc>
          <w:tcPr>
            <w:tcW w:w="3945" w:type="dxa"/>
            <w:vAlign w:val="top"/>
          </w:tcPr>
          <w:p w14:paraId="2B02A63D">
            <w:pPr>
              <w:spacing w:before="203" w:line="219" w:lineRule="auto"/>
              <w:ind w:left="948"/>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pacing w:val="-3"/>
                <w:sz w:val="24"/>
                <w:szCs w:val="24"/>
              </w:rPr>
              <w:t>不予处罚适用条件</w:t>
            </w:r>
          </w:p>
        </w:tc>
        <w:tc>
          <w:tcPr>
            <w:tcW w:w="4152" w:type="dxa"/>
            <w:vAlign w:val="top"/>
          </w:tcPr>
          <w:p w14:paraId="4F87232C">
            <w:pPr>
              <w:spacing w:before="201" w:line="219" w:lineRule="auto"/>
              <w:ind w:left="1021"/>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pacing w:val="-1"/>
                <w:sz w:val="24"/>
                <w:szCs w:val="24"/>
              </w:rPr>
              <w:t>法律依据</w:t>
            </w:r>
          </w:p>
        </w:tc>
        <w:tc>
          <w:tcPr>
            <w:tcW w:w="1204" w:type="dxa"/>
            <w:vAlign w:val="top"/>
          </w:tcPr>
          <w:p w14:paraId="1E9CAD48">
            <w:pPr>
              <w:spacing w:before="204" w:line="221" w:lineRule="auto"/>
              <w:ind w:left="303"/>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z w:val="24"/>
                <w:szCs w:val="24"/>
              </w:rPr>
              <w:t>备注</w:t>
            </w:r>
          </w:p>
        </w:tc>
      </w:tr>
      <w:tr w14:paraId="1B3F9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024" w:type="dxa"/>
            <w:vAlign w:val="center"/>
          </w:tcPr>
          <w:p w14:paraId="6BB1296B">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998" w:type="dxa"/>
            <w:vAlign w:val="center"/>
          </w:tcPr>
          <w:p w14:paraId="6EF7FF22">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在河道、湖泊管理范围内建设妨碍行洪的建筑物、构筑物的</w:t>
            </w:r>
            <w:r>
              <w:rPr>
                <w:rFonts w:hint="eastAsia" w:ascii="仿宋_GB2312" w:hAnsi="仿宋_GB2312" w:eastAsia="仿宋_GB2312" w:cs="仿宋_GB2312"/>
                <w:sz w:val="21"/>
                <w:szCs w:val="21"/>
                <w:lang w:eastAsia="zh-CN"/>
              </w:rPr>
              <w:t>。</w:t>
            </w:r>
          </w:p>
        </w:tc>
        <w:tc>
          <w:tcPr>
            <w:tcW w:w="1017" w:type="dxa"/>
            <w:vAlign w:val="center"/>
          </w:tcPr>
          <w:p w14:paraId="791B399C">
            <w:pPr>
              <w:bidi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益阳市水利局</w:t>
            </w:r>
          </w:p>
        </w:tc>
        <w:tc>
          <w:tcPr>
            <w:tcW w:w="3945" w:type="dxa"/>
            <w:vAlign w:val="center"/>
          </w:tcPr>
          <w:p w14:paraId="7A9B9DA7">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1.初次违法；</w:t>
            </w:r>
          </w:p>
          <w:p w14:paraId="221ABBE5">
            <w:pPr>
              <w:pStyle w:val="1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2.建筑物、构筑物占河道设计洪水位断面5%以下，或者建筑面积在100平方米以下,按水行政主管部门要求停止违法行为，</w:t>
            </w:r>
          </w:p>
          <w:p w14:paraId="7D0CB14B">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3.并在规定期限内排除阻碍未造成危害后果。</w:t>
            </w:r>
          </w:p>
        </w:tc>
        <w:tc>
          <w:tcPr>
            <w:tcW w:w="4152" w:type="dxa"/>
            <w:vAlign w:val="center"/>
          </w:tcPr>
          <w:p w14:paraId="60E2716B">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防洪法》第五十五条：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tc>
        <w:tc>
          <w:tcPr>
            <w:tcW w:w="1204" w:type="dxa"/>
            <w:vAlign w:val="top"/>
          </w:tcPr>
          <w:p w14:paraId="13E031F8">
            <w:pPr>
              <w:pStyle w:val="10"/>
              <w:jc w:val="center"/>
            </w:pPr>
          </w:p>
        </w:tc>
      </w:tr>
      <w:tr w14:paraId="15417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024" w:type="dxa"/>
            <w:vAlign w:val="center"/>
          </w:tcPr>
          <w:p w14:paraId="45447B61">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998" w:type="dxa"/>
            <w:vAlign w:val="center"/>
          </w:tcPr>
          <w:p w14:paraId="52000931">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在河道、湖泊管理范围内倾倒垃圾、渣土，从事影响河势稳定、危害河岸堤防安全和其他妨碍河道行洪的活动的</w:t>
            </w:r>
            <w:r>
              <w:rPr>
                <w:rFonts w:hint="eastAsia" w:ascii="仿宋_GB2312" w:hAnsi="仿宋_GB2312" w:eastAsia="仿宋_GB2312" w:cs="仿宋_GB2312"/>
                <w:sz w:val="21"/>
                <w:szCs w:val="21"/>
                <w:lang w:eastAsia="zh-CN"/>
              </w:rPr>
              <w:t>。</w:t>
            </w:r>
          </w:p>
        </w:tc>
        <w:tc>
          <w:tcPr>
            <w:tcW w:w="1017" w:type="dxa"/>
            <w:vAlign w:val="center"/>
          </w:tcPr>
          <w:p w14:paraId="4AEC2B7F">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益阳市水利局</w:t>
            </w:r>
          </w:p>
        </w:tc>
        <w:tc>
          <w:tcPr>
            <w:tcW w:w="3945" w:type="dxa"/>
            <w:vAlign w:val="center"/>
          </w:tcPr>
          <w:p w14:paraId="0EBF932D">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1.初次违法；</w:t>
            </w:r>
          </w:p>
          <w:p w14:paraId="39EE1AD1">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2.按水行政主管部门要求停止违法行为；</w:t>
            </w:r>
          </w:p>
          <w:p w14:paraId="703BCB47">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3.在规定的期限内排除阻碍未造成危害后果。</w:t>
            </w:r>
          </w:p>
        </w:tc>
        <w:tc>
          <w:tcPr>
            <w:tcW w:w="4152" w:type="dxa"/>
            <w:vAlign w:val="center"/>
          </w:tcPr>
          <w:p w14:paraId="65FCD0A2">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防洪法》第五十五条：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tc>
        <w:tc>
          <w:tcPr>
            <w:tcW w:w="1204" w:type="dxa"/>
            <w:vAlign w:val="top"/>
          </w:tcPr>
          <w:p w14:paraId="1C93EF03">
            <w:pPr>
              <w:pStyle w:val="10"/>
              <w:jc w:val="center"/>
            </w:pPr>
          </w:p>
        </w:tc>
      </w:tr>
      <w:tr w14:paraId="40291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024" w:type="dxa"/>
            <w:vAlign w:val="center"/>
          </w:tcPr>
          <w:p w14:paraId="6A986769">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2998" w:type="dxa"/>
            <w:vAlign w:val="center"/>
          </w:tcPr>
          <w:p w14:paraId="31BB567B">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在行洪河道内种植阻碍行洪的林木和高秆作物的</w:t>
            </w:r>
            <w:r>
              <w:rPr>
                <w:rFonts w:hint="eastAsia" w:ascii="仿宋_GB2312" w:hAnsi="仿宋_GB2312" w:eastAsia="仿宋_GB2312" w:cs="仿宋_GB2312"/>
                <w:sz w:val="21"/>
                <w:szCs w:val="21"/>
                <w:lang w:eastAsia="zh-CN"/>
              </w:rPr>
              <w:t>。</w:t>
            </w:r>
          </w:p>
        </w:tc>
        <w:tc>
          <w:tcPr>
            <w:tcW w:w="1017" w:type="dxa"/>
            <w:vAlign w:val="center"/>
          </w:tcPr>
          <w:p w14:paraId="4240949E">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益阳市水利局</w:t>
            </w:r>
          </w:p>
        </w:tc>
        <w:tc>
          <w:tcPr>
            <w:tcW w:w="3945" w:type="dxa"/>
            <w:vAlign w:val="center"/>
          </w:tcPr>
          <w:p w14:paraId="10631A87">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1.初次违法；</w:t>
            </w:r>
          </w:p>
          <w:p w14:paraId="22EEE25A">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2.种植面积在1000平方米以下，按水行政主管部门要求停止违法行为</w:t>
            </w:r>
            <w:r>
              <w:rPr>
                <w:rFonts w:hint="eastAsia" w:ascii="仿宋_GB2312" w:hAnsi="仿宋_GB2312" w:eastAsia="仿宋_GB2312" w:cs="仿宋_GB2312"/>
                <w:sz w:val="21"/>
                <w:szCs w:val="21"/>
                <w:lang w:eastAsia="zh-CN"/>
              </w:rPr>
              <w:t>；</w:t>
            </w:r>
          </w:p>
          <w:p w14:paraId="42A31E3D">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3.并在规定的期限内排除阻碍未造成危害后果。</w:t>
            </w:r>
          </w:p>
        </w:tc>
        <w:tc>
          <w:tcPr>
            <w:tcW w:w="4152" w:type="dxa"/>
            <w:vAlign w:val="center"/>
          </w:tcPr>
          <w:p w14:paraId="54649FC6">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shd w:val="clear" w:fill="FFFFFF"/>
              </w:rPr>
              <w:t>《中华人民共和国防洪法》第五十五条：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tc>
        <w:tc>
          <w:tcPr>
            <w:tcW w:w="1204" w:type="dxa"/>
            <w:vAlign w:val="top"/>
          </w:tcPr>
          <w:p w14:paraId="277ED895">
            <w:pPr>
              <w:pStyle w:val="10"/>
              <w:jc w:val="center"/>
            </w:pPr>
          </w:p>
        </w:tc>
      </w:tr>
      <w:tr w14:paraId="75F2F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024" w:type="dxa"/>
            <w:vAlign w:val="center"/>
          </w:tcPr>
          <w:p w14:paraId="20F08857">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2998" w:type="dxa"/>
            <w:vAlign w:val="center"/>
          </w:tcPr>
          <w:p w14:paraId="3DC50A71">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围湖造地、围垦河道的</w:t>
            </w:r>
            <w:r>
              <w:rPr>
                <w:rFonts w:hint="eastAsia" w:ascii="仿宋_GB2312" w:hAnsi="仿宋_GB2312" w:eastAsia="仿宋_GB2312" w:cs="仿宋_GB2312"/>
                <w:sz w:val="21"/>
                <w:szCs w:val="21"/>
                <w:lang w:eastAsia="zh-CN"/>
              </w:rPr>
              <w:t>。</w:t>
            </w:r>
          </w:p>
        </w:tc>
        <w:tc>
          <w:tcPr>
            <w:tcW w:w="1017" w:type="dxa"/>
            <w:vAlign w:val="center"/>
          </w:tcPr>
          <w:p w14:paraId="07DE30E9">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益阳市水利局</w:t>
            </w:r>
          </w:p>
        </w:tc>
        <w:tc>
          <w:tcPr>
            <w:tcW w:w="3945" w:type="dxa"/>
            <w:vAlign w:val="center"/>
          </w:tcPr>
          <w:p w14:paraId="18FB2965">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1.初次违法；</w:t>
            </w:r>
          </w:p>
          <w:p w14:paraId="6FE09A71">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2.围湖造地或者围垦河道面积在1000平方米以下，按水行政主管部门要求停止违法行为；</w:t>
            </w:r>
          </w:p>
          <w:p w14:paraId="3F4EDC67">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3.并在规定的期限内恢复原状未造成危害后果。</w:t>
            </w:r>
          </w:p>
        </w:tc>
        <w:tc>
          <w:tcPr>
            <w:tcW w:w="4152" w:type="dxa"/>
            <w:vAlign w:val="center"/>
          </w:tcPr>
          <w:p w14:paraId="762055C0">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防洪法》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tc>
        <w:tc>
          <w:tcPr>
            <w:tcW w:w="1204" w:type="dxa"/>
            <w:vAlign w:val="top"/>
          </w:tcPr>
          <w:p w14:paraId="7DFACF6A">
            <w:pPr>
              <w:pStyle w:val="10"/>
              <w:jc w:val="center"/>
            </w:pPr>
          </w:p>
        </w:tc>
      </w:tr>
      <w:tr w14:paraId="6F994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024" w:type="dxa"/>
            <w:vAlign w:val="center"/>
          </w:tcPr>
          <w:p w14:paraId="4C9FC6BF">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2998" w:type="dxa"/>
            <w:vAlign w:val="center"/>
          </w:tcPr>
          <w:p w14:paraId="78068C70">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擅自从事工程设施建设活动经补办审查同意或者审查批准手续，或者未按照批准的位置、界限从事工程设施建设活动，影响行洪，但尚可采取补救措施的</w:t>
            </w:r>
            <w:r>
              <w:rPr>
                <w:rFonts w:hint="eastAsia" w:ascii="仿宋_GB2312" w:hAnsi="仿宋_GB2312" w:eastAsia="仿宋_GB2312" w:cs="仿宋_GB2312"/>
                <w:sz w:val="21"/>
                <w:szCs w:val="21"/>
                <w:lang w:eastAsia="zh-CN"/>
              </w:rPr>
              <w:t>。</w:t>
            </w:r>
          </w:p>
        </w:tc>
        <w:tc>
          <w:tcPr>
            <w:tcW w:w="1017" w:type="dxa"/>
            <w:vAlign w:val="center"/>
          </w:tcPr>
          <w:p w14:paraId="4D95FD13">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益阳市水利局</w:t>
            </w:r>
          </w:p>
        </w:tc>
        <w:tc>
          <w:tcPr>
            <w:tcW w:w="3945" w:type="dxa"/>
            <w:vAlign w:val="center"/>
          </w:tcPr>
          <w:p w14:paraId="71C73B2F">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1.初次违法；</w:t>
            </w:r>
          </w:p>
          <w:p w14:paraId="5838286C">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2.在规定期限内采取补救措施消除负面影响未造成危害后果。</w:t>
            </w:r>
          </w:p>
        </w:tc>
        <w:tc>
          <w:tcPr>
            <w:tcW w:w="4152" w:type="dxa"/>
            <w:vAlign w:val="center"/>
          </w:tcPr>
          <w:p w14:paraId="31C7D4B8">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1204" w:type="dxa"/>
            <w:vAlign w:val="top"/>
          </w:tcPr>
          <w:p w14:paraId="329AC205">
            <w:pPr>
              <w:pStyle w:val="10"/>
              <w:jc w:val="center"/>
            </w:pPr>
          </w:p>
        </w:tc>
      </w:tr>
      <w:tr w14:paraId="492A0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24" w:type="dxa"/>
            <w:vAlign w:val="center"/>
          </w:tcPr>
          <w:p w14:paraId="01F03DB8">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2998" w:type="dxa"/>
            <w:vAlign w:val="center"/>
          </w:tcPr>
          <w:p w14:paraId="2E6CB11B">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破坏、侵占、毁损堤防、水闸、护岸、抽水站、排水渠系等防洪工程和水文、通信设施以及防汛备用的器材、物料的护带内开垦、开发的</w:t>
            </w:r>
            <w:r>
              <w:rPr>
                <w:rFonts w:hint="eastAsia" w:ascii="仿宋_GB2312" w:hAnsi="仿宋_GB2312" w:eastAsia="仿宋_GB2312" w:cs="仿宋_GB2312"/>
                <w:sz w:val="21"/>
                <w:szCs w:val="21"/>
                <w:lang w:eastAsia="zh-CN"/>
              </w:rPr>
              <w:t>。</w:t>
            </w:r>
          </w:p>
        </w:tc>
        <w:tc>
          <w:tcPr>
            <w:tcW w:w="1017" w:type="dxa"/>
            <w:vAlign w:val="center"/>
          </w:tcPr>
          <w:p w14:paraId="51230A7C">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益阳市水利局</w:t>
            </w:r>
          </w:p>
        </w:tc>
        <w:tc>
          <w:tcPr>
            <w:tcW w:w="3945" w:type="dxa"/>
            <w:vAlign w:val="center"/>
          </w:tcPr>
          <w:p w14:paraId="5DC17BE3">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1.初次违法；</w:t>
            </w:r>
          </w:p>
          <w:p w14:paraId="412C4759">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2.违法行为未对防洪工程或者设施造成损坏，在规定期限内停止违法行为，采取补救措施未造成危害后果。</w:t>
            </w:r>
          </w:p>
        </w:tc>
        <w:tc>
          <w:tcPr>
            <w:tcW w:w="4152" w:type="dxa"/>
            <w:vAlign w:val="center"/>
          </w:tcPr>
          <w:p w14:paraId="235DBAD2">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tc>
        <w:tc>
          <w:tcPr>
            <w:tcW w:w="1204" w:type="dxa"/>
            <w:vAlign w:val="top"/>
          </w:tcPr>
          <w:p w14:paraId="2182255A">
            <w:pPr>
              <w:pStyle w:val="10"/>
              <w:jc w:val="center"/>
            </w:pPr>
          </w:p>
        </w:tc>
      </w:tr>
      <w:tr w14:paraId="6E0A2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24" w:type="dxa"/>
            <w:vAlign w:val="center"/>
          </w:tcPr>
          <w:p w14:paraId="10068C6E">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2998" w:type="dxa"/>
            <w:vAlign w:val="center"/>
          </w:tcPr>
          <w:p w14:paraId="5F45A8CE">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aps w:val="0"/>
                <w:color w:val="000000"/>
                <w:spacing w:val="0"/>
                <w:sz w:val="21"/>
                <w:szCs w:val="21"/>
                <w:shd w:val="clear" w:fill="FFFFFF"/>
              </w:rPr>
              <w:t>未经批准擅自取水的</w:t>
            </w:r>
            <w:r>
              <w:rPr>
                <w:rFonts w:hint="eastAsia" w:ascii="仿宋_GB2312" w:hAnsi="仿宋_GB2312" w:eastAsia="仿宋_GB2312" w:cs="仿宋_GB2312"/>
                <w:i w:val="0"/>
                <w:iCs w:val="0"/>
                <w:caps w:val="0"/>
                <w:color w:val="000000"/>
                <w:spacing w:val="0"/>
                <w:sz w:val="21"/>
                <w:szCs w:val="21"/>
                <w:shd w:val="clear" w:fill="FFFFFF"/>
                <w:lang w:eastAsia="zh-CN"/>
              </w:rPr>
              <w:t>。</w:t>
            </w:r>
          </w:p>
        </w:tc>
        <w:tc>
          <w:tcPr>
            <w:tcW w:w="1017" w:type="dxa"/>
            <w:vAlign w:val="center"/>
          </w:tcPr>
          <w:p w14:paraId="6CE73116">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益阳市水利局</w:t>
            </w:r>
          </w:p>
        </w:tc>
        <w:tc>
          <w:tcPr>
            <w:tcW w:w="3945" w:type="dxa"/>
            <w:vAlign w:val="center"/>
          </w:tcPr>
          <w:p w14:paraId="6BEDDCE0">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1.初次违法；未经批准擅自开采地表水的违法行为轻微并按要求及时纠正，没有造成危害后果的，或日取地表水50立方米以下的；在规定期限内采取其他补救措施。</w:t>
            </w:r>
          </w:p>
          <w:p w14:paraId="497FF12C">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2.初次违法；未经批准擅自开采地下水的违法行为轻微并按要求及时纠正，没有造成危害后果的，或日取地下水5立方米以下的；在规定期限内采取其他补救措施。</w:t>
            </w:r>
          </w:p>
        </w:tc>
        <w:tc>
          <w:tcPr>
            <w:tcW w:w="4152" w:type="dxa"/>
            <w:vAlign w:val="center"/>
          </w:tcPr>
          <w:p w14:paraId="2E9DA035">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《中华人民共和国水法》第六十九条第（一）项未经批准擅自取水的，由县级以上人民政府水行政主管部门或者流域管理机构依据职权，责令停止违法行为，限期采取补救措施，处二万元以上十万元以下罚款。</w:t>
            </w:r>
          </w:p>
          <w:p w14:paraId="64DF8C0E">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《中华人民共和国行政处罚法》第三十三条第一款：违法行为轻微并及时改正，没有造成危害后果的，不予行政处罚。初次违法且危害后果轻微并及时改正的，可以不予行政处罚。</w:t>
            </w:r>
          </w:p>
        </w:tc>
        <w:tc>
          <w:tcPr>
            <w:tcW w:w="1204" w:type="dxa"/>
            <w:vAlign w:val="top"/>
          </w:tcPr>
          <w:p w14:paraId="3C469FE6">
            <w:pPr>
              <w:pStyle w:val="10"/>
              <w:jc w:val="center"/>
            </w:pPr>
          </w:p>
        </w:tc>
      </w:tr>
      <w:tr w14:paraId="122B2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24" w:type="dxa"/>
            <w:vAlign w:val="center"/>
          </w:tcPr>
          <w:p w14:paraId="52B16706">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2998" w:type="dxa"/>
            <w:vAlign w:val="center"/>
          </w:tcPr>
          <w:p w14:paraId="0A1852BE">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未依照批准的取水许可规定条件取水的</w:t>
            </w:r>
            <w:r>
              <w:rPr>
                <w:rFonts w:hint="eastAsia" w:ascii="仿宋_GB2312" w:hAnsi="仿宋_GB2312" w:eastAsia="仿宋_GB2312" w:cs="仿宋_GB2312"/>
                <w:sz w:val="21"/>
                <w:szCs w:val="21"/>
                <w:lang w:eastAsia="zh-CN"/>
              </w:rPr>
              <w:t>。</w:t>
            </w:r>
          </w:p>
        </w:tc>
        <w:tc>
          <w:tcPr>
            <w:tcW w:w="1017" w:type="dxa"/>
            <w:vAlign w:val="center"/>
          </w:tcPr>
          <w:p w14:paraId="00C45CFB">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益阳市水利局</w:t>
            </w:r>
          </w:p>
        </w:tc>
        <w:tc>
          <w:tcPr>
            <w:tcW w:w="3945" w:type="dxa"/>
            <w:vAlign w:val="center"/>
          </w:tcPr>
          <w:p w14:paraId="7716DA63">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1.初次违法；未经批准擅自扩大取水的违法行为轻微并按要求及时纠正，没有造成危害后果的，或擅自扩大取水量占取水许可总量的10%以下的；在规定期限内采取其他补救措施。</w:t>
            </w:r>
          </w:p>
          <w:p w14:paraId="60F56F16">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2.初次违法；取水水源、取水地点、取水用途、退水地点、退水方式及退水量、取水量年内分配等未按照取水许可审批意见执行的违法行为轻微并及时纠正，没有造成危害后果的。</w:t>
            </w:r>
          </w:p>
        </w:tc>
        <w:tc>
          <w:tcPr>
            <w:tcW w:w="4152" w:type="dxa"/>
            <w:vAlign w:val="center"/>
          </w:tcPr>
          <w:p w14:paraId="2F887AB7">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《中华人民共和国水法》第六十九条第（二）项未依照批准的取水许可规定条件取水的。</w:t>
            </w:r>
          </w:p>
          <w:p w14:paraId="1DBE716E">
            <w:pPr>
              <w:pStyle w:val="10"/>
              <w:jc w:val="center"/>
              <w:rPr>
                <w:rFonts w:hint="eastAsia" w:ascii="仿宋_GB2312" w:hAnsi="仿宋_GB2312" w:eastAsia="仿宋_GB2312" w:cs="仿宋_GB2312"/>
                <w:sz w:val="21"/>
                <w:szCs w:val="21"/>
              </w:rPr>
            </w:pPr>
          </w:p>
          <w:p w14:paraId="05787BE9">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取水许可和水资源费征收管理条例》第四十八条未经批准擅自取水，或者未依照批准的取水许可规定条件取水的，依照《中华人民共和国水法》第六十九条规定处罚；给他人造成妨碍或者损失的，应当排除妨碍、赔偿损失。</w:t>
            </w:r>
          </w:p>
        </w:tc>
        <w:tc>
          <w:tcPr>
            <w:tcW w:w="1204" w:type="dxa"/>
            <w:vAlign w:val="top"/>
          </w:tcPr>
          <w:p w14:paraId="324900AA">
            <w:pPr>
              <w:pStyle w:val="10"/>
              <w:jc w:val="center"/>
            </w:pPr>
          </w:p>
        </w:tc>
      </w:tr>
      <w:tr w14:paraId="6B139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24" w:type="dxa"/>
            <w:vAlign w:val="top"/>
          </w:tcPr>
          <w:p w14:paraId="5753A851">
            <w:pPr>
              <w:pStyle w:val="10"/>
              <w:jc w:val="center"/>
              <w:rPr>
                <w:rFonts w:hint="eastAsia" w:eastAsia="宋体"/>
                <w:lang w:val="en-US" w:eastAsia="zh-CN"/>
              </w:rPr>
            </w:pPr>
          </w:p>
        </w:tc>
        <w:tc>
          <w:tcPr>
            <w:tcW w:w="2998" w:type="dxa"/>
            <w:vAlign w:val="top"/>
          </w:tcPr>
          <w:p w14:paraId="16F34017">
            <w:pPr>
              <w:pStyle w:val="10"/>
              <w:jc w:val="center"/>
              <w:rPr>
                <w:rFonts w:hint="eastAsia"/>
              </w:rPr>
            </w:pPr>
          </w:p>
        </w:tc>
        <w:tc>
          <w:tcPr>
            <w:tcW w:w="1017" w:type="dxa"/>
            <w:vAlign w:val="top"/>
          </w:tcPr>
          <w:p w14:paraId="7574DF9A">
            <w:pPr>
              <w:pStyle w:val="10"/>
              <w:jc w:val="center"/>
              <w:rPr>
                <w:rFonts w:hint="eastAsia"/>
                <w:lang w:eastAsia="zh-CN"/>
              </w:rPr>
            </w:pPr>
          </w:p>
        </w:tc>
        <w:tc>
          <w:tcPr>
            <w:tcW w:w="3945" w:type="dxa"/>
            <w:vAlign w:val="top"/>
          </w:tcPr>
          <w:p w14:paraId="2A01573B">
            <w:pPr>
              <w:pStyle w:val="10"/>
              <w:jc w:val="center"/>
              <w:rPr>
                <w:rFonts w:hint="eastAsia"/>
              </w:rPr>
            </w:pPr>
          </w:p>
        </w:tc>
        <w:tc>
          <w:tcPr>
            <w:tcW w:w="4152" w:type="dxa"/>
            <w:vAlign w:val="top"/>
          </w:tcPr>
          <w:p w14:paraId="24CADC42">
            <w:pPr>
              <w:pStyle w:val="10"/>
              <w:jc w:val="center"/>
              <w:rPr>
                <w:rFonts w:hint="eastAsia"/>
              </w:rPr>
            </w:pPr>
          </w:p>
        </w:tc>
        <w:tc>
          <w:tcPr>
            <w:tcW w:w="1204" w:type="dxa"/>
            <w:vAlign w:val="top"/>
          </w:tcPr>
          <w:p w14:paraId="6CCAC73A">
            <w:pPr>
              <w:pStyle w:val="10"/>
              <w:jc w:val="center"/>
            </w:pPr>
          </w:p>
        </w:tc>
      </w:tr>
    </w:tbl>
    <w:p w14:paraId="4254736D">
      <w:pPr>
        <w:rPr>
          <w:rFonts w:ascii="Arial"/>
          <w:sz w:val="21"/>
        </w:rPr>
      </w:pPr>
    </w:p>
    <w:p w14:paraId="783C1871">
      <w:pPr>
        <w:rPr>
          <w:rFonts w:ascii="Arial" w:hAnsi="Arial" w:eastAsia="Arial" w:cs="Arial"/>
          <w:sz w:val="21"/>
          <w:szCs w:val="21"/>
        </w:rPr>
        <w:sectPr>
          <w:footerReference r:id="rId3" w:type="default"/>
          <w:pgSz w:w="16830" w:h="11900"/>
          <w:pgMar w:top="1011" w:right="1425" w:bottom="1260" w:left="1054" w:header="0" w:footer="1061" w:gutter="0"/>
          <w:pgNumType w:fmt="numberInDash"/>
          <w:cols w:space="720" w:num="1"/>
        </w:sectPr>
      </w:pPr>
    </w:p>
    <w:p w14:paraId="3F7224B8">
      <w:pPr>
        <w:spacing w:line="269" w:lineRule="auto"/>
        <w:rPr>
          <w:rFonts w:ascii="Arial"/>
          <w:sz w:val="21"/>
        </w:rPr>
      </w:pPr>
    </w:p>
    <w:p w14:paraId="012542C9">
      <w:pPr>
        <w:spacing w:line="269" w:lineRule="auto"/>
        <w:rPr>
          <w:rFonts w:ascii="Arial"/>
          <w:sz w:val="21"/>
        </w:rPr>
      </w:pPr>
    </w:p>
    <w:p w14:paraId="45208A44">
      <w:pPr>
        <w:spacing w:line="270" w:lineRule="auto"/>
        <w:rPr>
          <w:rFonts w:ascii="Arial"/>
          <w:sz w:val="21"/>
        </w:rPr>
      </w:pPr>
    </w:p>
    <w:p w14:paraId="4B0C4833">
      <w:pPr>
        <w:spacing w:before="104" w:line="220" w:lineRule="auto"/>
        <w:jc w:val="center"/>
        <w:rPr>
          <w:rFonts w:hint="eastAsia" w:ascii="方正小标宋简体" w:hAnsi="方正小标宋简体" w:eastAsia="方正小标宋简体" w:cs="方正小标宋简体"/>
          <w:b w:val="0"/>
          <w:bCs w:val="0"/>
          <w:spacing w:val="-3"/>
          <w:sz w:val="32"/>
          <w:szCs w:val="32"/>
        </w:rPr>
      </w:pPr>
      <w:r>
        <w:rPr>
          <w:rFonts w:hint="eastAsia" w:ascii="方正小标宋简体" w:hAnsi="方正小标宋简体" w:eastAsia="方正小标宋简体" w:cs="方正小标宋简体"/>
          <w:b w:val="0"/>
          <w:bCs w:val="0"/>
          <w:spacing w:val="-3"/>
          <w:sz w:val="32"/>
          <w:szCs w:val="32"/>
        </w:rPr>
        <w:t>从轻处罚事项清单</w:t>
      </w:r>
    </w:p>
    <w:p w14:paraId="1BF0CCD1">
      <w:pPr>
        <w:spacing w:before="25"/>
      </w:pPr>
    </w:p>
    <w:tbl>
      <w:tblPr>
        <w:tblStyle w:val="9"/>
        <w:tblW w:w="143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2988"/>
        <w:gridCol w:w="1928"/>
        <w:gridCol w:w="4097"/>
        <w:gridCol w:w="3148"/>
        <w:gridCol w:w="1194"/>
      </w:tblGrid>
      <w:tr w14:paraId="40CF8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004" w:type="dxa"/>
            <w:vAlign w:val="center"/>
          </w:tcPr>
          <w:p w14:paraId="249B0483">
            <w:pPr>
              <w:spacing w:before="95" w:line="221" w:lineRule="auto"/>
              <w:ind w:left="189"/>
              <w:jc w:val="center"/>
              <w:rPr>
                <w:rFonts w:hint="eastAsia" w:ascii="方正楷体_GBK" w:hAnsi="方正楷体_GBK" w:eastAsia="方正楷体_GBK" w:cs="方正楷体_GBK"/>
                <w:b/>
                <w:bCs/>
                <w:spacing w:val="-6"/>
                <w:sz w:val="24"/>
                <w:szCs w:val="24"/>
              </w:rPr>
            </w:pPr>
            <w:r>
              <w:rPr>
                <w:rFonts w:hint="eastAsia" w:ascii="方正楷体_GBK" w:hAnsi="方正楷体_GBK" w:eastAsia="方正楷体_GBK" w:cs="方正楷体_GBK"/>
                <w:b/>
                <w:bCs/>
                <w:spacing w:val="-6"/>
                <w:sz w:val="24"/>
                <w:szCs w:val="24"/>
              </w:rPr>
              <w:t>序号</w:t>
            </w:r>
          </w:p>
        </w:tc>
        <w:tc>
          <w:tcPr>
            <w:tcW w:w="2988" w:type="dxa"/>
            <w:vAlign w:val="center"/>
          </w:tcPr>
          <w:p w14:paraId="6BEB746B">
            <w:pPr>
              <w:spacing w:before="95" w:line="221" w:lineRule="auto"/>
              <w:ind w:left="189"/>
              <w:jc w:val="center"/>
              <w:rPr>
                <w:rFonts w:hint="eastAsia" w:ascii="方正楷体_GBK" w:hAnsi="方正楷体_GBK" w:eastAsia="方正楷体_GBK" w:cs="方正楷体_GBK"/>
                <w:b/>
                <w:bCs/>
                <w:spacing w:val="-6"/>
                <w:sz w:val="24"/>
                <w:szCs w:val="24"/>
              </w:rPr>
            </w:pPr>
            <w:r>
              <w:rPr>
                <w:rFonts w:hint="eastAsia" w:ascii="方正楷体_GBK" w:hAnsi="方正楷体_GBK" w:eastAsia="方正楷体_GBK" w:cs="方正楷体_GBK"/>
                <w:b/>
                <w:bCs/>
                <w:spacing w:val="-6"/>
                <w:sz w:val="24"/>
                <w:szCs w:val="24"/>
              </w:rPr>
              <w:t>行政处罚事项</w:t>
            </w:r>
          </w:p>
        </w:tc>
        <w:tc>
          <w:tcPr>
            <w:tcW w:w="1928" w:type="dxa"/>
            <w:vAlign w:val="center"/>
          </w:tcPr>
          <w:p w14:paraId="4DFFA006">
            <w:pPr>
              <w:spacing w:before="95" w:line="221" w:lineRule="auto"/>
              <w:ind w:left="189"/>
              <w:jc w:val="center"/>
              <w:rPr>
                <w:rFonts w:hint="eastAsia" w:ascii="方正楷体_GBK" w:hAnsi="方正楷体_GBK" w:eastAsia="方正楷体_GBK" w:cs="方正楷体_GBK"/>
                <w:b/>
                <w:bCs/>
                <w:spacing w:val="-6"/>
                <w:sz w:val="24"/>
                <w:szCs w:val="24"/>
              </w:rPr>
            </w:pPr>
            <w:r>
              <w:rPr>
                <w:rFonts w:hint="eastAsia" w:ascii="方正楷体_GBK" w:hAnsi="方正楷体_GBK" w:eastAsia="方正楷体_GBK" w:cs="方正楷体_GBK"/>
                <w:b/>
                <w:bCs/>
                <w:spacing w:val="-6"/>
                <w:sz w:val="24"/>
                <w:szCs w:val="24"/>
              </w:rPr>
              <w:t>实施机关</w:t>
            </w:r>
          </w:p>
        </w:tc>
        <w:tc>
          <w:tcPr>
            <w:tcW w:w="4097" w:type="dxa"/>
            <w:vAlign w:val="center"/>
          </w:tcPr>
          <w:p w14:paraId="55E92DBE">
            <w:pPr>
              <w:spacing w:before="95" w:line="221" w:lineRule="auto"/>
              <w:ind w:left="189"/>
              <w:jc w:val="center"/>
              <w:rPr>
                <w:rFonts w:hint="eastAsia" w:ascii="方正楷体_GBK" w:hAnsi="方正楷体_GBK" w:eastAsia="方正楷体_GBK" w:cs="方正楷体_GBK"/>
                <w:b/>
                <w:bCs/>
                <w:spacing w:val="-6"/>
                <w:sz w:val="24"/>
                <w:szCs w:val="24"/>
              </w:rPr>
            </w:pPr>
            <w:r>
              <w:rPr>
                <w:rFonts w:hint="eastAsia" w:ascii="方正楷体_GBK" w:hAnsi="方正楷体_GBK" w:eastAsia="方正楷体_GBK" w:cs="方正楷体_GBK"/>
                <w:b/>
                <w:bCs/>
                <w:spacing w:val="-6"/>
                <w:sz w:val="24"/>
                <w:szCs w:val="24"/>
              </w:rPr>
              <w:t>从轻处罚适用条件</w:t>
            </w:r>
          </w:p>
        </w:tc>
        <w:tc>
          <w:tcPr>
            <w:tcW w:w="3148" w:type="dxa"/>
            <w:vAlign w:val="center"/>
          </w:tcPr>
          <w:p w14:paraId="0D61CF02">
            <w:pPr>
              <w:spacing w:before="95" w:line="221" w:lineRule="auto"/>
              <w:ind w:left="189"/>
              <w:jc w:val="center"/>
              <w:rPr>
                <w:rFonts w:hint="eastAsia" w:ascii="方正楷体_GBK" w:hAnsi="方正楷体_GBK" w:eastAsia="方正楷体_GBK" w:cs="方正楷体_GBK"/>
                <w:b/>
                <w:bCs/>
                <w:spacing w:val="-6"/>
                <w:sz w:val="24"/>
                <w:szCs w:val="24"/>
              </w:rPr>
            </w:pPr>
            <w:r>
              <w:rPr>
                <w:rFonts w:hint="eastAsia" w:ascii="方正楷体_GBK" w:hAnsi="方正楷体_GBK" w:eastAsia="方正楷体_GBK" w:cs="方正楷体_GBK"/>
                <w:b/>
                <w:bCs/>
                <w:spacing w:val="-6"/>
                <w:sz w:val="24"/>
                <w:szCs w:val="24"/>
              </w:rPr>
              <w:t>法律依据</w:t>
            </w:r>
          </w:p>
        </w:tc>
        <w:tc>
          <w:tcPr>
            <w:tcW w:w="1194" w:type="dxa"/>
            <w:vAlign w:val="center"/>
          </w:tcPr>
          <w:p w14:paraId="3444404F">
            <w:pPr>
              <w:spacing w:before="95" w:line="221" w:lineRule="auto"/>
              <w:ind w:left="189"/>
              <w:jc w:val="center"/>
              <w:rPr>
                <w:rFonts w:hint="eastAsia" w:ascii="方正楷体_GBK" w:hAnsi="方正楷体_GBK" w:eastAsia="方正楷体_GBK" w:cs="方正楷体_GBK"/>
                <w:b/>
                <w:bCs/>
                <w:spacing w:val="-6"/>
                <w:sz w:val="24"/>
                <w:szCs w:val="24"/>
              </w:rPr>
            </w:pPr>
            <w:r>
              <w:rPr>
                <w:rFonts w:hint="eastAsia" w:ascii="方正楷体_GBK" w:hAnsi="方正楷体_GBK" w:eastAsia="方正楷体_GBK" w:cs="方正楷体_GBK"/>
                <w:b/>
                <w:bCs/>
                <w:spacing w:val="-6"/>
                <w:sz w:val="24"/>
                <w:szCs w:val="24"/>
              </w:rPr>
              <w:t>备注</w:t>
            </w:r>
          </w:p>
        </w:tc>
      </w:tr>
      <w:tr w14:paraId="493E6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3" w:hRule="atLeast"/>
        </w:trPr>
        <w:tc>
          <w:tcPr>
            <w:tcW w:w="1004" w:type="dxa"/>
            <w:vAlign w:val="center"/>
          </w:tcPr>
          <w:p w14:paraId="7AC4B9BF">
            <w:pPr>
              <w:pStyle w:val="1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2988" w:type="dxa"/>
            <w:vAlign w:val="center"/>
          </w:tcPr>
          <w:p w14:paraId="37C5779A">
            <w:pPr>
              <w:pStyle w:val="10"/>
              <w:jc w:val="center"/>
              <w:rPr>
                <w:rFonts w:hint="eastAsia" w:ascii="仿宋_GB2312" w:hAnsi="仿宋_GB2312" w:eastAsia="仿宋_GB2312" w:cs="仿宋_GB2312"/>
              </w:rPr>
            </w:pPr>
            <w:r>
              <w:rPr>
                <w:rFonts w:hint="eastAsia" w:ascii="仿宋_GB2312" w:hAnsi="仿宋_GB2312" w:eastAsia="仿宋_GB2312" w:cs="仿宋_GB2312"/>
                <w:b w:val="0"/>
                <w:bCs w:val="0"/>
                <w:spacing w:val="-3"/>
                <w:kern w:val="2"/>
                <w:sz w:val="21"/>
                <w:szCs w:val="21"/>
                <w:lang w:val="en-US" w:eastAsia="zh-CN" w:bidi="ar-SA"/>
              </w:rPr>
              <w:t>建设妨碍行洪的建筑物、构筑物， 逾期不拆除、不恢复原状的</w:t>
            </w:r>
          </w:p>
        </w:tc>
        <w:tc>
          <w:tcPr>
            <w:tcW w:w="1928" w:type="dxa"/>
            <w:vAlign w:val="center"/>
          </w:tcPr>
          <w:p w14:paraId="4D2CFD07">
            <w:pPr>
              <w:pStyle w:val="1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益阳市水利局</w:t>
            </w:r>
          </w:p>
        </w:tc>
        <w:tc>
          <w:tcPr>
            <w:tcW w:w="4097" w:type="dxa"/>
            <w:vAlign w:val="center"/>
          </w:tcPr>
          <w:p w14:paraId="426EE35A">
            <w:pPr>
              <w:pStyle w:val="10"/>
              <w:jc w:val="center"/>
              <w:rPr>
                <w:rFonts w:hint="eastAsia" w:ascii="仿宋_GB2312" w:hAnsi="仿宋_GB2312" w:eastAsia="仿宋_GB2312" w:cs="仿宋_GB2312"/>
              </w:rPr>
            </w:pPr>
            <w:r>
              <w:rPr>
                <w:rFonts w:hint="eastAsia" w:ascii="仿宋_GB2312" w:hAnsi="仿宋_GB2312" w:eastAsia="仿宋_GB2312" w:cs="仿宋_GB2312"/>
                <w:b w:val="0"/>
                <w:bCs w:val="0"/>
                <w:spacing w:val="-3"/>
                <w:kern w:val="2"/>
                <w:sz w:val="21"/>
                <w:szCs w:val="21"/>
                <w:lang w:val="en-US" w:eastAsia="zh-CN" w:bidi="ar-SA"/>
              </w:rPr>
              <w:t>建筑物、构筑物占河道设计洪水位（没有设计洪水位的，按河道防汛警戒水位、设计排涝水位或者设计灌溉水位，下同）断面3%以下的，或者建筑占用面积在 100 平方米以下的</w:t>
            </w:r>
          </w:p>
        </w:tc>
        <w:tc>
          <w:tcPr>
            <w:tcW w:w="3148" w:type="dxa"/>
            <w:vMerge w:val="restart"/>
            <w:vAlign w:val="center"/>
          </w:tcPr>
          <w:p w14:paraId="77716419">
            <w:pPr>
              <w:pStyle w:val="11"/>
              <w:spacing w:before="105" w:line="206" w:lineRule="auto"/>
              <w:ind w:left="53" w:right="-44"/>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《中华人民共和国水法》第六十五条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 限期拆除违法建筑物、构筑物，恢复原状；逾期不拆除、不恢复原状的，强行拆除，所需费用由违法单位或者个人负担，并处一万元以上十万元以下的罚款。</w:t>
            </w:r>
          </w:p>
          <w:p w14:paraId="351EF8EA">
            <w:pPr>
              <w:pStyle w:val="11"/>
              <w:spacing w:line="206" w:lineRule="auto"/>
              <w:ind w:left="53" w:right="-58"/>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14:paraId="27DEEB2E">
            <w:pPr>
              <w:pStyle w:val="10"/>
              <w:jc w:val="center"/>
              <w:rPr>
                <w:rFonts w:hint="eastAsia" w:ascii="仿宋_GB2312" w:hAnsi="仿宋_GB2312" w:eastAsia="仿宋_GB2312" w:cs="仿宋_GB2312"/>
              </w:rPr>
            </w:pPr>
            <w:r>
              <w:rPr>
                <w:rFonts w:hint="eastAsia" w:ascii="仿宋_GB2312" w:hAnsi="仿宋_GB2312" w:eastAsia="仿宋_GB2312" w:cs="仿宋_GB2312"/>
                <w:b w:val="0"/>
                <w:bCs w:val="0"/>
                <w:spacing w:val="-3"/>
                <w:kern w:val="2"/>
                <w:sz w:val="21"/>
                <w:szCs w:val="21"/>
                <w:lang w:val="en-US" w:eastAsia="en-US" w:bidi="ar-SA"/>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c>
          <w:tcPr>
            <w:tcW w:w="1194" w:type="dxa"/>
            <w:vAlign w:val="top"/>
          </w:tcPr>
          <w:p w14:paraId="749C2DAD">
            <w:pPr>
              <w:pStyle w:val="10"/>
            </w:pPr>
          </w:p>
        </w:tc>
      </w:tr>
      <w:tr w14:paraId="73966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1004" w:type="dxa"/>
            <w:vAlign w:val="center"/>
          </w:tcPr>
          <w:p w14:paraId="6C8B5343">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2</w:t>
            </w:r>
          </w:p>
        </w:tc>
        <w:tc>
          <w:tcPr>
            <w:tcW w:w="2988" w:type="dxa"/>
            <w:vAlign w:val="center"/>
          </w:tcPr>
          <w:p w14:paraId="39806076">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从事影响河势稳定、危害河岸堤防安全和其他妨碍河道行洪的活动，逾期不拆除、不恢复原状的</w:t>
            </w:r>
          </w:p>
        </w:tc>
        <w:tc>
          <w:tcPr>
            <w:tcW w:w="1928" w:type="dxa"/>
            <w:vAlign w:val="center"/>
          </w:tcPr>
          <w:p w14:paraId="00E87431">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97" w:type="dxa"/>
            <w:vAlign w:val="center"/>
          </w:tcPr>
          <w:p w14:paraId="323BD9CC">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恢复原状所需费用预算在一万元以下的</w:t>
            </w:r>
          </w:p>
        </w:tc>
        <w:tc>
          <w:tcPr>
            <w:tcW w:w="3148" w:type="dxa"/>
            <w:vMerge w:val="continue"/>
            <w:vAlign w:val="center"/>
          </w:tcPr>
          <w:p w14:paraId="21E89FEA">
            <w:pPr>
              <w:pStyle w:val="10"/>
              <w:jc w:val="center"/>
              <w:rPr>
                <w:rFonts w:hint="eastAsia" w:ascii="仿宋_GB2312" w:hAnsi="仿宋_GB2312" w:eastAsia="仿宋_GB2312" w:cs="仿宋_GB2312"/>
                <w:b w:val="0"/>
                <w:bCs w:val="0"/>
                <w:spacing w:val="-3"/>
                <w:kern w:val="2"/>
                <w:sz w:val="21"/>
                <w:szCs w:val="21"/>
                <w:lang w:val="en-US" w:eastAsia="en-US" w:bidi="ar-SA"/>
              </w:rPr>
            </w:pPr>
          </w:p>
        </w:tc>
        <w:tc>
          <w:tcPr>
            <w:tcW w:w="1194" w:type="dxa"/>
            <w:vAlign w:val="top"/>
          </w:tcPr>
          <w:p w14:paraId="3B4E4EB6">
            <w:pPr>
              <w:pStyle w:val="10"/>
              <w:jc w:val="center"/>
              <w:rPr>
                <w:rFonts w:hint="eastAsia" w:ascii="宋体" w:hAnsi="宋体" w:eastAsia="宋体" w:cs="宋体"/>
                <w:b w:val="0"/>
                <w:bCs w:val="0"/>
                <w:spacing w:val="-3"/>
                <w:kern w:val="2"/>
                <w:sz w:val="21"/>
                <w:szCs w:val="21"/>
                <w:lang w:val="en-US" w:eastAsia="en-US" w:bidi="ar-SA"/>
              </w:rPr>
            </w:pPr>
          </w:p>
        </w:tc>
      </w:tr>
      <w:tr w14:paraId="0E6A0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004" w:type="dxa"/>
            <w:vAlign w:val="center"/>
          </w:tcPr>
          <w:p w14:paraId="7312A2B9">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3</w:t>
            </w:r>
          </w:p>
        </w:tc>
        <w:tc>
          <w:tcPr>
            <w:tcW w:w="2988" w:type="dxa"/>
            <w:vAlign w:val="center"/>
          </w:tcPr>
          <w:p w14:paraId="43E06519">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逾期未拆除擅自修建的水工程或者桥梁、码头和拦河、跨河、临河建筑物、构筑物，铺设跨河管道、电缆，且防洪法未作规定的</w:t>
            </w:r>
          </w:p>
        </w:tc>
        <w:tc>
          <w:tcPr>
            <w:tcW w:w="1928" w:type="dxa"/>
            <w:vAlign w:val="center"/>
          </w:tcPr>
          <w:p w14:paraId="17C6922B">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97" w:type="dxa"/>
            <w:vAlign w:val="center"/>
          </w:tcPr>
          <w:p w14:paraId="0AC7F64F">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占用面积在 100 平方米以下，或者投资额在十万元以下的，或者铺设跨河、临河管道、电缆占用河道管理范围长度 200 米以下的</w:t>
            </w:r>
          </w:p>
        </w:tc>
        <w:tc>
          <w:tcPr>
            <w:tcW w:w="3148" w:type="dxa"/>
            <w:vMerge w:val="continue"/>
            <w:vAlign w:val="center"/>
          </w:tcPr>
          <w:p w14:paraId="34F0E9D8">
            <w:pPr>
              <w:pStyle w:val="10"/>
              <w:jc w:val="center"/>
              <w:rPr>
                <w:rFonts w:hint="eastAsia" w:ascii="仿宋_GB2312" w:hAnsi="仿宋_GB2312" w:eastAsia="仿宋_GB2312" w:cs="仿宋_GB2312"/>
                <w:b w:val="0"/>
                <w:bCs w:val="0"/>
                <w:spacing w:val="-3"/>
                <w:kern w:val="2"/>
                <w:sz w:val="21"/>
                <w:szCs w:val="21"/>
                <w:lang w:val="en-US" w:eastAsia="en-US" w:bidi="ar-SA"/>
              </w:rPr>
            </w:pPr>
          </w:p>
        </w:tc>
        <w:tc>
          <w:tcPr>
            <w:tcW w:w="1194" w:type="dxa"/>
            <w:vAlign w:val="top"/>
          </w:tcPr>
          <w:p w14:paraId="6C65F872">
            <w:pPr>
              <w:pStyle w:val="10"/>
              <w:jc w:val="center"/>
              <w:rPr>
                <w:rFonts w:hint="eastAsia" w:ascii="宋体" w:hAnsi="宋体" w:eastAsia="宋体" w:cs="宋体"/>
                <w:b w:val="0"/>
                <w:bCs w:val="0"/>
                <w:spacing w:val="-3"/>
                <w:kern w:val="2"/>
                <w:sz w:val="21"/>
                <w:szCs w:val="21"/>
                <w:lang w:val="en-US" w:eastAsia="en-US" w:bidi="ar-SA"/>
              </w:rPr>
            </w:pPr>
          </w:p>
        </w:tc>
      </w:tr>
      <w:tr w14:paraId="6004E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004" w:type="dxa"/>
            <w:vAlign w:val="center"/>
          </w:tcPr>
          <w:p w14:paraId="3718D202">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4</w:t>
            </w:r>
          </w:p>
        </w:tc>
        <w:tc>
          <w:tcPr>
            <w:tcW w:w="2988" w:type="dxa"/>
            <w:vAlign w:val="center"/>
          </w:tcPr>
          <w:p w14:paraId="56F1314D">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影响行洪但在规定期限内补办批准手续并采取补救措施的</w:t>
            </w:r>
          </w:p>
        </w:tc>
        <w:tc>
          <w:tcPr>
            <w:tcW w:w="1928" w:type="dxa"/>
            <w:vAlign w:val="center"/>
          </w:tcPr>
          <w:p w14:paraId="2DE387CE">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97" w:type="dxa"/>
            <w:vAlign w:val="center"/>
          </w:tcPr>
          <w:p w14:paraId="7A0C80F1">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建设项目投资额在二万元以上二十万元以下，在规定期限内采取补救措施排除影响的</w:t>
            </w:r>
          </w:p>
        </w:tc>
        <w:tc>
          <w:tcPr>
            <w:tcW w:w="3148" w:type="dxa"/>
            <w:vMerge w:val="continue"/>
            <w:vAlign w:val="center"/>
          </w:tcPr>
          <w:p w14:paraId="618E311C">
            <w:pPr>
              <w:pStyle w:val="10"/>
              <w:jc w:val="center"/>
              <w:rPr>
                <w:rFonts w:hint="eastAsia" w:ascii="仿宋_GB2312" w:hAnsi="仿宋_GB2312" w:eastAsia="仿宋_GB2312" w:cs="仿宋_GB2312"/>
                <w:b w:val="0"/>
                <w:bCs w:val="0"/>
                <w:spacing w:val="-3"/>
                <w:kern w:val="2"/>
                <w:sz w:val="21"/>
                <w:szCs w:val="21"/>
                <w:lang w:val="en-US" w:eastAsia="en-US" w:bidi="ar-SA"/>
              </w:rPr>
            </w:pPr>
          </w:p>
        </w:tc>
        <w:tc>
          <w:tcPr>
            <w:tcW w:w="1194" w:type="dxa"/>
            <w:vAlign w:val="top"/>
          </w:tcPr>
          <w:p w14:paraId="463E5A4D">
            <w:pPr>
              <w:pStyle w:val="10"/>
              <w:jc w:val="center"/>
              <w:rPr>
                <w:rFonts w:hint="eastAsia" w:ascii="宋体" w:hAnsi="宋体" w:eastAsia="宋体" w:cs="宋体"/>
                <w:b w:val="0"/>
                <w:bCs w:val="0"/>
                <w:spacing w:val="-3"/>
                <w:kern w:val="2"/>
                <w:sz w:val="21"/>
                <w:szCs w:val="21"/>
                <w:lang w:val="en-US" w:eastAsia="en-US" w:bidi="ar-SA"/>
              </w:rPr>
            </w:pPr>
          </w:p>
        </w:tc>
      </w:tr>
      <w:tr w14:paraId="0D616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004" w:type="dxa"/>
            <w:vAlign w:val="center"/>
          </w:tcPr>
          <w:p w14:paraId="0C571C7E">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5</w:t>
            </w:r>
          </w:p>
        </w:tc>
        <w:tc>
          <w:tcPr>
            <w:tcW w:w="2988" w:type="dxa"/>
            <w:vAlign w:val="center"/>
          </w:tcPr>
          <w:p w14:paraId="55AD2383">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虽经水行政主管部门同意，但未按照要求修建工程设施的</w:t>
            </w:r>
          </w:p>
        </w:tc>
        <w:tc>
          <w:tcPr>
            <w:tcW w:w="1928" w:type="dxa"/>
            <w:vAlign w:val="center"/>
          </w:tcPr>
          <w:p w14:paraId="747DD2C2">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97" w:type="dxa"/>
            <w:vAlign w:val="center"/>
          </w:tcPr>
          <w:p w14:paraId="5E9355E7">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违反批准的界限、位置、施工方案之一，在规定的期限内改正的，造成后果轻微的</w:t>
            </w:r>
          </w:p>
        </w:tc>
        <w:tc>
          <w:tcPr>
            <w:tcW w:w="3148" w:type="dxa"/>
            <w:vMerge w:val="continue"/>
            <w:vAlign w:val="center"/>
          </w:tcPr>
          <w:p w14:paraId="1771D556">
            <w:pPr>
              <w:pStyle w:val="10"/>
              <w:jc w:val="center"/>
              <w:rPr>
                <w:rFonts w:hint="eastAsia" w:ascii="仿宋_GB2312" w:hAnsi="仿宋_GB2312" w:eastAsia="仿宋_GB2312" w:cs="仿宋_GB2312"/>
                <w:b w:val="0"/>
                <w:bCs w:val="0"/>
                <w:spacing w:val="-3"/>
                <w:kern w:val="2"/>
                <w:sz w:val="21"/>
                <w:szCs w:val="21"/>
                <w:lang w:val="en-US" w:eastAsia="en-US" w:bidi="ar-SA"/>
              </w:rPr>
            </w:pPr>
          </w:p>
        </w:tc>
        <w:tc>
          <w:tcPr>
            <w:tcW w:w="1194" w:type="dxa"/>
            <w:vAlign w:val="top"/>
          </w:tcPr>
          <w:p w14:paraId="1B8EAF46">
            <w:pPr>
              <w:pStyle w:val="10"/>
              <w:jc w:val="center"/>
              <w:rPr>
                <w:rFonts w:hint="eastAsia" w:ascii="宋体" w:hAnsi="宋体" w:eastAsia="宋体" w:cs="宋体"/>
                <w:b w:val="0"/>
                <w:bCs w:val="0"/>
                <w:spacing w:val="-3"/>
                <w:kern w:val="2"/>
                <w:sz w:val="21"/>
                <w:szCs w:val="21"/>
                <w:lang w:val="en-US" w:eastAsia="en-US" w:bidi="ar-SA"/>
              </w:rPr>
            </w:pPr>
          </w:p>
        </w:tc>
      </w:tr>
      <w:tr w14:paraId="10B9D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004" w:type="dxa"/>
            <w:vAlign w:val="center"/>
          </w:tcPr>
          <w:p w14:paraId="7A926371">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6</w:t>
            </w:r>
          </w:p>
        </w:tc>
        <w:tc>
          <w:tcPr>
            <w:tcW w:w="2988" w:type="dxa"/>
            <w:vAlign w:val="center"/>
          </w:tcPr>
          <w:p w14:paraId="566F11AC">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在江河、湖泊、水库、运河、渠道内弃置、堆放阻碍行洪物体的</w:t>
            </w:r>
          </w:p>
        </w:tc>
        <w:tc>
          <w:tcPr>
            <w:tcW w:w="1928" w:type="dxa"/>
            <w:vAlign w:val="center"/>
          </w:tcPr>
          <w:p w14:paraId="44CA6DF2">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97" w:type="dxa"/>
            <w:vAlign w:val="center"/>
          </w:tcPr>
          <w:p w14:paraId="382D3A36">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物体在 30 立方米以下，或者占河道设计洪水位断面3%以下，在规定期限内清除障碍或者采取其</w:t>
            </w:r>
            <w:r>
              <w:rPr>
                <w:rFonts w:hint="eastAsia" w:ascii="仿宋_GB2312" w:hAnsi="仿宋_GB2312" w:eastAsia="仿宋_GB2312" w:cs="仿宋_GB2312"/>
                <w:b w:val="0"/>
                <w:bCs w:val="0"/>
                <w:spacing w:val="-3"/>
                <w:kern w:val="2"/>
                <w:sz w:val="21"/>
                <w:szCs w:val="21"/>
                <w:lang w:val="en-US" w:eastAsia="zh-CN" w:bidi="ar-SA"/>
              </w:rPr>
              <w:t>他</w:t>
            </w:r>
            <w:r>
              <w:rPr>
                <w:rFonts w:hint="eastAsia" w:ascii="仿宋_GB2312" w:hAnsi="仿宋_GB2312" w:eastAsia="仿宋_GB2312" w:cs="仿宋_GB2312"/>
                <w:b w:val="0"/>
                <w:bCs w:val="0"/>
                <w:spacing w:val="-3"/>
                <w:kern w:val="2"/>
                <w:sz w:val="21"/>
                <w:szCs w:val="21"/>
                <w:lang w:val="en-US" w:eastAsia="en-US" w:bidi="ar-SA"/>
              </w:rPr>
              <w:t>补救措施的</w:t>
            </w:r>
          </w:p>
        </w:tc>
        <w:tc>
          <w:tcPr>
            <w:tcW w:w="3148" w:type="dxa"/>
            <w:vMerge w:val="restart"/>
            <w:vAlign w:val="center"/>
          </w:tcPr>
          <w:p w14:paraId="6AE4A319">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《中华人民共和国水法》第六十六条 有下列行为之一，且防洪法未作规定的，由县级以上人民政府水行政主管部门或者流域管理机构依据职权，责令停止违法行为，限期清除障碍或者采取其他补救措施，处一万元以上五万元以下的罚款：</w:t>
            </w:r>
          </w:p>
          <w:p w14:paraId="3FFF866C">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（一）在江河、湖泊、水库、运河、渠道内弃置、</w:t>
            </w:r>
          </w:p>
          <w:p w14:paraId="4AFFC355">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，堆放阻碍行洪的物体和种植阻碍行洪的林木及高秆作物的；</w:t>
            </w:r>
          </w:p>
          <w:p w14:paraId="5B704B10">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（二）围湖造地或者未经批准围垦河道的。</w:t>
            </w:r>
          </w:p>
          <w:p w14:paraId="11676584">
            <w:pPr>
              <w:pStyle w:val="10"/>
              <w:jc w:val="center"/>
              <w:rPr>
                <w:rFonts w:hint="eastAsia" w:ascii="仿宋_GB2312" w:hAnsi="仿宋_GB2312" w:eastAsia="仿宋_GB2312" w:cs="仿宋_GB2312"/>
                <w:b w:val="0"/>
                <w:bCs w:val="0"/>
                <w:spacing w:val="-3"/>
                <w:kern w:val="2"/>
                <w:sz w:val="21"/>
                <w:szCs w:val="21"/>
                <w:lang w:val="en-US" w:eastAsia="en-US" w:bidi="ar-SA"/>
              </w:rPr>
            </w:pPr>
          </w:p>
          <w:p w14:paraId="695D638D">
            <w:pPr>
              <w:pStyle w:val="10"/>
              <w:jc w:val="center"/>
              <w:rPr>
                <w:rFonts w:hint="eastAsia" w:ascii="仿宋_GB2312" w:hAnsi="仿宋_GB2312" w:eastAsia="仿宋_GB2312" w:cs="仿宋_GB2312"/>
                <w:b w:val="0"/>
                <w:bCs w:val="0"/>
                <w:spacing w:val="-3"/>
                <w:kern w:val="2"/>
                <w:sz w:val="21"/>
                <w:szCs w:val="21"/>
                <w:lang w:val="en-US" w:eastAsia="en-US" w:bidi="ar-SA"/>
              </w:rPr>
            </w:pPr>
          </w:p>
        </w:tc>
        <w:tc>
          <w:tcPr>
            <w:tcW w:w="1194" w:type="dxa"/>
            <w:vAlign w:val="top"/>
          </w:tcPr>
          <w:p w14:paraId="346846DA">
            <w:pPr>
              <w:pStyle w:val="10"/>
              <w:jc w:val="center"/>
              <w:rPr>
                <w:rFonts w:hint="eastAsia" w:ascii="宋体" w:hAnsi="宋体" w:eastAsia="宋体" w:cs="宋体"/>
                <w:b w:val="0"/>
                <w:bCs w:val="0"/>
                <w:spacing w:val="-3"/>
                <w:kern w:val="2"/>
                <w:sz w:val="21"/>
                <w:szCs w:val="21"/>
                <w:lang w:val="en-US" w:eastAsia="en-US" w:bidi="ar-SA"/>
              </w:rPr>
            </w:pPr>
          </w:p>
        </w:tc>
      </w:tr>
      <w:tr w14:paraId="50A74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04" w:type="dxa"/>
            <w:vAlign w:val="center"/>
          </w:tcPr>
          <w:p w14:paraId="04366A8F">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7</w:t>
            </w:r>
          </w:p>
        </w:tc>
        <w:tc>
          <w:tcPr>
            <w:tcW w:w="2988" w:type="dxa"/>
            <w:vAlign w:val="center"/>
          </w:tcPr>
          <w:p w14:paraId="3A197951">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种植阻碍行洪的林木及高秆作物的</w:t>
            </w:r>
          </w:p>
        </w:tc>
        <w:tc>
          <w:tcPr>
            <w:tcW w:w="1928" w:type="dxa"/>
            <w:vAlign w:val="center"/>
          </w:tcPr>
          <w:p w14:paraId="353EFD0E">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97" w:type="dxa"/>
            <w:vAlign w:val="center"/>
          </w:tcPr>
          <w:p w14:paraId="1B82594C">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种植面积在 600 平方米以下，在规定的期限内停止违法行为，并排除阻碍或者采取其</w:t>
            </w:r>
            <w:r>
              <w:rPr>
                <w:rFonts w:hint="eastAsia" w:ascii="仿宋_GB2312" w:hAnsi="仿宋_GB2312" w:eastAsia="仿宋_GB2312" w:cs="仿宋_GB2312"/>
                <w:b w:val="0"/>
                <w:bCs w:val="0"/>
                <w:spacing w:val="-3"/>
                <w:kern w:val="2"/>
                <w:sz w:val="21"/>
                <w:szCs w:val="21"/>
                <w:lang w:val="en-US" w:eastAsia="zh-CN" w:bidi="ar-SA"/>
              </w:rPr>
              <w:t>他</w:t>
            </w:r>
            <w:r>
              <w:rPr>
                <w:rFonts w:hint="eastAsia" w:ascii="仿宋_GB2312" w:hAnsi="仿宋_GB2312" w:eastAsia="仿宋_GB2312" w:cs="仿宋_GB2312"/>
                <w:b w:val="0"/>
                <w:bCs w:val="0"/>
                <w:spacing w:val="-3"/>
                <w:kern w:val="2"/>
                <w:sz w:val="21"/>
                <w:szCs w:val="21"/>
                <w:lang w:val="en-US" w:eastAsia="en-US" w:bidi="ar-SA"/>
              </w:rPr>
              <w:t>补救措施的</w:t>
            </w:r>
          </w:p>
        </w:tc>
        <w:tc>
          <w:tcPr>
            <w:tcW w:w="3148" w:type="dxa"/>
            <w:vMerge w:val="continue"/>
            <w:vAlign w:val="center"/>
          </w:tcPr>
          <w:p w14:paraId="04954508">
            <w:pPr>
              <w:pStyle w:val="10"/>
              <w:jc w:val="center"/>
              <w:rPr>
                <w:rFonts w:hint="eastAsia" w:ascii="仿宋_GB2312" w:hAnsi="仿宋_GB2312" w:eastAsia="仿宋_GB2312" w:cs="仿宋_GB2312"/>
                <w:b w:val="0"/>
                <w:bCs w:val="0"/>
                <w:spacing w:val="-3"/>
                <w:kern w:val="2"/>
                <w:sz w:val="21"/>
                <w:szCs w:val="21"/>
                <w:lang w:val="en-US" w:eastAsia="en-US" w:bidi="ar-SA"/>
              </w:rPr>
            </w:pPr>
          </w:p>
        </w:tc>
        <w:tc>
          <w:tcPr>
            <w:tcW w:w="1194" w:type="dxa"/>
            <w:vAlign w:val="top"/>
          </w:tcPr>
          <w:p w14:paraId="07FD68D6">
            <w:pPr>
              <w:pStyle w:val="10"/>
              <w:jc w:val="center"/>
              <w:rPr>
                <w:rFonts w:hint="eastAsia" w:ascii="宋体" w:hAnsi="宋体" w:eastAsia="宋体" w:cs="宋体"/>
                <w:b w:val="0"/>
                <w:bCs w:val="0"/>
                <w:spacing w:val="-3"/>
                <w:kern w:val="2"/>
                <w:sz w:val="21"/>
                <w:szCs w:val="21"/>
                <w:lang w:val="en-US" w:eastAsia="en-US" w:bidi="ar-SA"/>
              </w:rPr>
            </w:pPr>
          </w:p>
        </w:tc>
      </w:tr>
      <w:tr w14:paraId="577F4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04" w:type="dxa"/>
            <w:vAlign w:val="center"/>
          </w:tcPr>
          <w:p w14:paraId="67143920">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8</w:t>
            </w:r>
          </w:p>
        </w:tc>
        <w:tc>
          <w:tcPr>
            <w:tcW w:w="2988" w:type="dxa"/>
            <w:vAlign w:val="center"/>
          </w:tcPr>
          <w:p w14:paraId="40D46C35">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围湖造地或者未经批准围垦河道的</w:t>
            </w:r>
          </w:p>
        </w:tc>
        <w:tc>
          <w:tcPr>
            <w:tcW w:w="1928" w:type="dxa"/>
            <w:vAlign w:val="center"/>
          </w:tcPr>
          <w:p w14:paraId="01CD6480">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97" w:type="dxa"/>
            <w:vAlign w:val="center"/>
          </w:tcPr>
          <w:p w14:paraId="6AEF67A4">
            <w:pPr>
              <w:pStyle w:val="10"/>
              <w:jc w:val="center"/>
              <w:rPr>
                <w:rFonts w:hint="eastAsia" w:ascii="仿宋_GB2312" w:hAnsi="仿宋_GB2312" w:eastAsia="仿宋_GB2312" w:cs="仿宋_GB2312"/>
                <w:b w:val="0"/>
                <w:bCs w:val="0"/>
                <w:spacing w:val="-3"/>
                <w:kern w:val="2"/>
                <w:sz w:val="21"/>
                <w:szCs w:val="21"/>
                <w:lang w:val="en-US" w:eastAsia="en-US" w:bidi="ar-SA"/>
              </w:rPr>
            </w:pPr>
          </w:p>
          <w:p w14:paraId="08DF73E1">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围湖造地在 6000 平方米以下，在规定的期限内停止违法行为，并恢复原状或者采取其</w:t>
            </w:r>
            <w:r>
              <w:rPr>
                <w:rFonts w:hint="eastAsia" w:ascii="仿宋_GB2312" w:hAnsi="仿宋_GB2312" w:eastAsia="仿宋_GB2312" w:cs="仿宋_GB2312"/>
                <w:b w:val="0"/>
                <w:bCs w:val="0"/>
                <w:spacing w:val="-3"/>
                <w:kern w:val="2"/>
                <w:sz w:val="21"/>
                <w:szCs w:val="21"/>
                <w:lang w:val="en-US" w:eastAsia="zh-CN" w:bidi="ar-SA"/>
              </w:rPr>
              <w:t>他</w:t>
            </w:r>
            <w:bookmarkStart w:id="0" w:name="_GoBack"/>
            <w:bookmarkEnd w:id="0"/>
            <w:r>
              <w:rPr>
                <w:rFonts w:hint="eastAsia" w:ascii="仿宋_GB2312" w:hAnsi="仿宋_GB2312" w:eastAsia="仿宋_GB2312" w:cs="仿宋_GB2312"/>
                <w:b w:val="0"/>
                <w:bCs w:val="0"/>
                <w:spacing w:val="-3"/>
                <w:kern w:val="2"/>
                <w:sz w:val="21"/>
                <w:szCs w:val="21"/>
                <w:lang w:val="en-US" w:eastAsia="en-US" w:bidi="ar-SA"/>
              </w:rPr>
              <w:t>补救措施的</w:t>
            </w:r>
          </w:p>
        </w:tc>
        <w:tc>
          <w:tcPr>
            <w:tcW w:w="3148" w:type="dxa"/>
            <w:vMerge w:val="continue"/>
            <w:vAlign w:val="center"/>
          </w:tcPr>
          <w:p w14:paraId="4A0E1694">
            <w:pPr>
              <w:pStyle w:val="10"/>
              <w:jc w:val="center"/>
              <w:rPr>
                <w:rFonts w:hint="eastAsia" w:ascii="仿宋_GB2312" w:hAnsi="仿宋_GB2312" w:eastAsia="仿宋_GB2312" w:cs="仿宋_GB2312"/>
                <w:b w:val="0"/>
                <w:bCs w:val="0"/>
                <w:spacing w:val="-3"/>
                <w:kern w:val="2"/>
                <w:sz w:val="21"/>
                <w:szCs w:val="21"/>
                <w:lang w:val="en-US" w:eastAsia="en-US" w:bidi="ar-SA"/>
              </w:rPr>
            </w:pPr>
          </w:p>
        </w:tc>
        <w:tc>
          <w:tcPr>
            <w:tcW w:w="1194" w:type="dxa"/>
            <w:vAlign w:val="top"/>
          </w:tcPr>
          <w:p w14:paraId="2E732B54">
            <w:pPr>
              <w:pStyle w:val="10"/>
              <w:jc w:val="center"/>
              <w:rPr>
                <w:rFonts w:hint="eastAsia" w:ascii="宋体" w:hAnsi="宋体" w:eastAsia="宋体" w:cs="宋体"/>
                <w:b w:val="0"/>
                <w:bCs w:val="0"/>
                <w:spacing w:val="-3"/>
                <w:kern w:val="2"/>
                <w:sz w:val="21"/>
                <w:szCs w:val="21"/>
                <w:lang w:val="en-US" w:eastAsia="en-US" w:bidi="ar-SA"/>
              </w:rPr>
            </w:pPr>
          </w:p>
        </w:tc>
      </w:tr>
      <w:tr w14:paraId="70AF6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04" w:type="dxa"/>
            <w:vAlign w:val="center"/>
          </w:tcPr>
          <w:p w14:paraId="0B105672">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9</w:t>
            </w:r>
          </w:p>
        </w:tc>
        <w:tc>
          <w:tcPr>
            <w:tcW w:w="2988" w:type="dxa"/>
            <w:vAlign w:val="center"/>
          </w:tcPr>
          <w:p w14:paraId="3C514E4A">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未经水行政主管部门或者流域管理机构审查同意，擅自在江河、湖泊新建、改建或者扩大排污口的</w:t>
            </w:r>
          </w:p>
        </w:tc>
        <w:tc>
          <w:tcPr>
            <w:tcW w:w="1928" w:type="dxa"/>
            <w:vAlign w:val="center"/>
          </w:tcPr>
          <w:p w14:paraId="614F6F9C">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97" w:type="dxa"/>
            <w:vAlign w:val="center"/>
          </w:tcPr>
          <w:p w14:paraId="4FDB7E16">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损害轻微、在规定的期限内停止违法行为并恢复原状的</w:t>
            </w:r>
          </w:p>
        </w:tc>
        <w:tc>
          <w:tcPr>
            <w:tcW w:w="3148" w:type="dxa"/>
            <w:vMerge w:val="continue"/>
            <w:vAlign w:val="center"/>
          </w:tcPr>
          <w:p w14:paraId="1AE43EC2">
            <w:pPr>
              <w:pStyle w:val="10"/>
              <w:jc w:val="center"/>
              <w:rPr>
                <w:rFonts w:hint="eastAsia" w:ascii="仿宋_GB2312" w:hAnsi="仿宋_GB2312" w:eastAsia="仿宋_GB2312" w:cs="仿宋_GB2312"/>
                <w:b w:val="0"/>
                <w:bCs w:val="0"/>
                <w:spacing w:val="-3"/>
                <w:kern w:val="2"/>
                <w:sz w:val="21"/>
                <w:szCs w:val="21"/>
                <w:lang w:val="en-US" w:eastAsia="en-US" w:bidi="ar-SA"/>
              </w:rPr>
            </w:pPr>
          </w:p>
        </w:tc>
        <w:tc>
          <w:tcPr>
            <w:tcW w:w="1194" w:type="dxa"/>
            <w:vAlign w:val="top"/>
          </w:tcPr>
          <w:p w14:paraId="16A0915F">
            <w:pPr>
              <w:pStyle w:val="10"/>
              <w:jc w:val="center"/>
              <w:rPr>
                <w:rFonts w:hint="eastAsia" w:ascii="宋体" w:hAnsi="宋体" w:eastAsia="宋体" w:cs="宋体"/>
                <w:b w:val="0"/>
                <w:bCs w:val="0"/>
                <w:spacing w:val="-3"/>
                <w:kern w:val="2"/>
                <w:sz w:val="21"/>
                <w:szCs w:val="21"/>
                <w:lang w:val="en-US" w:eastAsia="en-US" w:bidi="ar-SA"/>
              </w:rPr>
            </w:pPr>
          </w:p>
        </w:tc>
      </w:tr>
      <w:tr w14:paraId="197C1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04" w:type="dxa"/>
            <w:vAlign w:val="center"/>
          </w:tcPr>
          <w:p w14:paraId="6BA4BB62">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10</w:t>
            </w:r>
          </w:p>
        </w:tc>
        <w:tc>
          <w:tcPr>
            <w:tcW w:w="2988" w:type="dxa"/>
            <w:vAlign w:val="center"/>
          </w:tcPr>
          <w:p w14:paraId="0E9E13FA">
            <w:pPr>
              <w:pStyle w:val="10"/>
              <w:jc w:val="center"/>
              <w:rPr>
                <w:rFonts w:hint="eastAsia" w:ascii="仿宋_GB2312" w:hAnsi="仿宋_GB2312" w:eastAsia="仿宋_GB2312" w:cs="仿宋_GB2312"/>
                <w:b w:val="0"/>
                <w:bCs w:val="0"/>
                <w:spacing w:val="-3"/>
                <w:kern w:val="2"/>
                <w:sz w:val="21"/>
                <w:szCs w:val="21"/>
                <w:lang w:val="en-US" w:eastAsia="en-US" w:bidi="ar-SA"/>
              </w:rPr>
            </w:pPr>
          </w:p>
          <w:p w14:paraId="3CE8C273">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未经批准擅自取用地表水的</w:t>
            </w:r>
          </w:p>
        </w:tc>
        <w:tc>
          <w:tcPr>
            <w:tcW w:w="1928" w:type="dxa"/>
            <w:vAlign w:val="center"/>
          </w:tcPr>
          <w:p w14:paraId="6D72DB97">
            <w:pPr>
              <w:pStyle w:val="10"/>
              <w:ind w:firstLine="408" w:firstLineChars="20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97" w:type="dxa"/>
            <w:vAlign w:val="center"/>
          </w:tcPr>
          <w:p w14:paraId="39662219">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少量取水并在规定期限内停止违法行为，采取补救措施的</w:t>
            </w:r>
          </w:p>
        </w:tc>
        <w:tc>
          <w:tcPr>
            <w:tcW w:w="3148" w:type="dxa"/>
            <w:vMerge w:val="restart"/>
            <w:vAlign w:val="center"/>
          </w:tcPr>
          <w:p w14:paraId="6BFFCEAA">
            <w:pPr>
              <w:pStyle w:val="10"/>
              <w:jc w:val="center"/>
              <w:rPr>
                <w:rFonts w:hint="eastAsia" w:ascii="仿宋_GB2312" w:hAnsi="仿宋_GB2312" w:eastAsia="仿宋_GB2312" w:cs="仿宋_GB2312"/>
                <w:b w:val="0"/>
                <w:bCs w:val="0"/>
                <w:spacing w:val="-3"/>
                <w:kern w:val="2"/>
                <w:sz w:val="21"/>
                <w:szCs w:val="21"/>
                <w:lang w:val="en-US" w:eastAsia="en-US" w:bidi="ar-SA"/>
              </w:rPr>
            </w:pPr>
          </w:p>
          <w:p w14:paraId="6CBEB243">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《中华人民共和国水法》第六十九条 有下列行为之一的，由县级以上人民政府水行政主管部门或者流域管理机构依据职权，责令停止违法行为，限期采取补救措施，处二万元以上十万元以下的罚款；情节严重的，吊销其取水许可证：</w:t>
            </w:r>
          </w:p>
          <w:p w14:paraId="6388B8E1">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（一）未经批准擅自取水的；</w:t>
            </w:r>
          </w:p>
          <w:p w14:paraId="7BEFB4BE">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（二）未依照批准的取水许可规定条件取水的。</w:t>
            </w:r>
          </w:p>
        </w:tc>
        <w:tc>
          <w:tcPr>
            <w:tcW w:w="1194" w:type="dxa"/>
            <w:vAlign w:val="top"/>
          </w:tcPr>
          <w:p w14:paraId="2458D130">
            <w:pPr>
              <w:pStyle w:val="10"/>
              <w:jc w:val="center"/>
              <w:rPr>
                <w:rFonts w:hint="eastAsia" w:ascii="宋体" w:hAnsi="宋体" w:eastAsia="宋体" w:cs="宋体"/>
                <w:b w:val="0"/>
                <w:bCs w:val="0"/>
                <w:spacing w:val="-3"/>
                <w:kern w:val="2"/>
                <w:sz w:val="21"/>
                <w:szCs w:val="21"/>
                <w:lang w:val="en-US" w:eastAsia="en-US" w:bidi="ar-SA"/>
              </w:rPr>
            </w:pPr>
          </w:p>
        </w:tc>
      </w:tr>
      <w:tr w14:paraId="70B54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04" w:type="dxa"/>
            <w:vAlign w:val="center"/>
          </w:tcPr>
          <w:p w14:paraId="3194C193">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11</w:t>
            </w:r>
          </w:p>
        </w:tc>
        <w:tc>
          <w:tcPr>
            <w:tcW w:w="2988" w:type="dxa"/>
            <w:vAlign w:val="center"/>
          </w:tcPr>
          <w:p w14:paraId="494BFC9C">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未经批准擅自取用浅层地下水的</w:t>
            </w:r>
          </w:p>
        </w:tc>
        <w:tc>
          <w:tcPr>
            <w:tcW w:w="1928" w:type="dxa"/>
            <w:vAlign w:val="center"/>
          </w:tcPr>
          <w:p w14:paraId="6DF5E815">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97" w:type="dxa"/>
            <w:vAlign w:val="center"/>
          </w:tcPr>
          <w:p w14:paraId="07C9ED84">
            <w:pPr>
              <w:pStyle w:val="10"/>
              <w:jc w:val="center"/>
              <w:rPr>
                <w:rFonts w:hint="eastAsia" w:ascii="仿宋_GB2312" w:hAnsi="仿宋_GB2312" w:eastAsia="仿宋_GB2312" w:cs="仿宋_GB2312"/>
                <w:b w:val="0"/>
                <w:bCs w:val="0"/>
                <w:spacing w:val="-3"/>
                <w:kern w:val="2"/>
                <w:sz w:val="21"/>
                <w:szCs w:val="21"/>
                <w:lang w:val="en-US" w:eastAsia="en-US" w:bidi="ar-SA"/>
              </w:rPr>
            </w:pPr>
          </w:p>
          <w:p w14:paraId="2A4493B6">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损害轻微、在规定的期限内停止违法行为，并采取补救措施的</w:t>
            </w:r>
          </w:p>
        </w:tc>
        <w:tc>
          <w:tcPr>
            <w:tcW w:w="3148" w:type="dxa"/>
            <w:vMerge w:val="continue"/>
            <w:vAlign w:val="center"/>
          </w:tcPr>
          <w:p w14:paraId="6F157CE2">
            <w:pPr>
              <w:pStyle w:val="10"/>
              <w:jc w:val="center"/>
              <w:rPr>
                <w:rFonts w:hint="eastAsia" w:ascii="仿宋_GB2312" w:hAnsi="仿宋_GB2312" w:eastAsia="仿宋_GB2312" w:cs="仿宋_GB2312"/>
                <w:b w:val="0"/>
                <w:bCs w:val="0"/>
                <w:spacing w:val="-3"/>
                <w:kern w:val="2"/>
                <w:sz w:val="21"/>
                <w:szCs w:val="21"/>
                <w:lang w:val="en-US" w:eastAsia="en-US" w:bidi="ar-SA"/>
              </w:rPr>
            </w:pPr>
          </w:p>
        </w:tc>
        <w:tc>
          <w:tcPr>
            <w:tcW w:w="1194" w:type="dxa"/>
            <w:vAlign w:val="top"/>
          </w:tcPr>
          <w:p w14:paraId="5DF2BEC8">
            <w:pPr>
              <w:pStyle w:val="10"/>
              <w:jc w:val="center"/>
              <w:rPr>
                <w:rFonts w:hint="eastAsia" w:ascii="宋体" w:hAnsi="宋体" w:eastAsia="宋体" w:cs="宋体"/>
                <w:b w:val="0"/>
                <w:bCs w:val="0"/>
                <w:spacing w:val="-3"/>
                <w:kern w:val="2"/>
                <w:sz w:val="21"/>
                <w:szCs w:val="21"/>
                <w:lang w:val="en-US" w:eastAsia="en-US" w:bidi="ar-SA"/>
              </w:rPr>
            </w:pPr>
          </w:p>
        </w:tc>
      </w:tr>
      <w:tr w14:paraId="73B5B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04" w:type="dxa"/>
            <w:vAlign w:val="center"/>
          </w:tcPr>
          <w:p w14:paraId="04EAFBCC">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12</w:t>
            </w:r>
          </w:p>
        </w:tc>
        <w:tc>
          <w:tcPr>
            <w:tcW w:w="2988" w:type="dxa"/>
            <w:vAlign w:val="center"/>
          </w:tcPr>
          <w:p w14:paraId="73CFEF98">
            <w:pPr>
              <w:pStyle w:val="10"/>
              <w:jc w:val="center"/>
              <w:rPr>
                <w:rFonts w:hint="eastAsia" w:ascii="仿宋_GB2312" w:hAnsi="仿宋_GB2312" w:eastAsia="仿宋_GB2312" w:cs="仿宋_GB2312"/>
                <w:b w:val="0"/>
                <w:bCs w:val="0"/>
                <w:spacing w:val="-3"/>
                <w:kern w:val="2"/>
                <w:sz w:val="21"/>
                <w:szCs w:val="21"/>
                <w:lang w:val="en-US" w:eastAsia="en-US" w:bidi="ar-SA"/>
              </w:rPr>
            </w:pPr>
          </w:p>
          <w:p w14:paraId="2C7DDA50">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拒不缴纳、拖延缴纳或者拖欠水资源费，经责令限期缴纳仍逾期不缴纳的</w:t>
            </w:r>
          </w:p>
        </w:tc>
        <w:tc>
          <w:tcPr>
            <w:tcW w:w="1928" w:type="dxa"/>
            <w:vAlign w:val="center"/>
          </w:tcPr>
          <w:p w14:paraId="0B6BB2D0">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97" w:type="dxa"/>
            <w:vAlign w:val="center"/>
          </w:tcPr>
          <w:p w14:paraId="65005621">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超过规定的缴纳期限，欠缴数额占应缴或者补缴水资源费总额 30%以下的； 拒不缴纳者不予减轻、从轻</w:t>
            </w:r>
          </w:p>
        </w:tc>
        <w:tc>
          <w:tcPr>
            <w:tcW w:w="3148" w:type="dxa"/>
            <w:vAlign w:val="center"/>
          </w:tcPr>
          <w:p w14:paraId="39DEB48B">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《中华人民共和国水法》第七十条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c>
          <w:tcPr>
            <w:tcW w:w="1194" w:type="dxa"/>
            <w:vAlign w:val="top"/>
          </w:tcPr>
          <w:p w14:paraId="108AD091">
            <w:pPr>
              <w:pStyle w:val="10"/>
              <w:jc w:val="center"/>
              <w:rPr>
                <w:rFonts w:hint="eastAsia" w:ascii="宋体" w:hAnsi="宋体" w:eastAsia="宋体" w:cs="宋体"/>
                <w:b w:val="0"/>
                <w:bCs w:val="0"/>
                <w:spacing w:val="-3"/>
                <w:kern w:val="2"/>
                <w:sz w:val="21"/>
                <w:szCs w:val="21"/>
                <w:lang w:val="en-US" w:eastAsia="en-US" w:bidi="ar-SA"/>
              </w:rPr>
            </w:pPr>
          </w:p>
        </w:tc>
      </w:tr>
    </w:tbl>
    <w:p w14:paraId="255C0C9C">
      <w:pPr>
        <w:pStyle w:val="10"/>
        <w:jc w:val="center"/>
        <w:rPr>
          <w:rFonts w:hint="eastAsia" w:ascii="宋体" w:hAnsi="宋体" w:eastAsia="宋体" w:cs="宋体"/>
          <w:b w:val="0"/>
          <w:bCs w:val="0"/>
          <w:spacing w:val="-3"/>
          <w:kern w:val="2"/>
          <w:sz w:val="21"/>
          <w:szCs w:val="21"/>
          <w:lang w:val="en-US" w:eastAsia="en-US" w:bidi="ar-SA"/>
        </w:rPr>
      </w:pPr>
    </w:p>
    <w:p w14:paraId="7BB8B364">
      <w:pPr>
        <w:rPr>
          <w:rFonts w:ascii="Arial" w:hAnsi="Arial" w:eastAsia="Arial" w:cs="Arial"/>
          <w:sz w:val="21"/>
          <w:szCs w:val="21"/>
        </w:rPr>
        <w:sectPr>
          <w:footerReference r:id="rId4" w:type="default"/>
          <w:pgSz w:w="16830" w:h="11900"/>
          <w:pgMar w:top="1011" w:right="1325" w:bottom="1477" w:left="1135" w:header="0" w:footer="1268" w:gutter="0"/>
          <w:pgNumType w:fmt="numberInDash"/>
          <w:cols w:space="720" w:num="1"/>
        </w:sectPr>
      </w:pPr>
    </w:p>
    <w:p w14:paraId="00A99DB5">
      <w:pPr>
        <w:spacing w:line="280" w:lineRule="auto"/>
        <w:rPr>
          <w:rFonts w:ascii="Arial"/>
          <w:sz w:val="21"/>
        </w:rPr>
      </w:pPr>
    </w:p>
    <w:p w14:paraId="08A6E3ED">
      <w:pPr>
        <w:spacing w:line="280" w:lineRule="auto"/>
        <w:rPr>
          <w:rFonts w:ascii="Arial"/>
          <w:sz w:val="21"/>
        </w:rPr>
      </w:pPr>
    </w:p>
    <w:p w14:paraId="467EED6C">
      <w:pPr>
        <w:spacing w:line="281" w:lineRule="auto"/>
        <w:rPr>
          <w:rFonts w:ascii="Arial"/>
          <w:sz w:val="21"/>
        </w:rPr>
      </w:pPr>
    </w:p>
    <w:p w14:paraId="4E88527D">
      <w:pPr>
        <w:spacing w:before="104" w:line="220" w:lineRule="auto"/>
        <w:jc w:val="center"/>
        <w:rPr>
          <w:rFonts w:hint="eastAsia" w:ascii="方正小标宋简体" w:hAnsi="方正小标宋简体" w:eastAsia="方正小标宋简体" w:cs="方正小标宋简体"/>
          <w:b w:val="0"/>
          <w:bCs w:val="0"/>
          <w:spacing w:val="-3"/>
          <w:sz w:val="32"/>
          <w:szCs w:val="32"/>
        </w:rPr>
      </w:pPr>
      <w:r>
        <w:rPr>
          <w:rFonts w:hint="eastAsia" w:ascii="方正小标宋简体" w:hAnsi="方正小标宋简体" w:eastAsia="方正小标宋简体" w:cs="方正小标宋简体"/>
          <w:b w:val="0"/>
          <w:bCs w:val="0"/>
          <w:spacing w:val="-3"/>
          <w:sz w:val="32"/>
          <w:szCs w:val="32"/>
        </w:rPr>
        <w:t>减轻处罚事项清单</w:t>
      </w:r>
    </w:p>
    <w:p w14:paraId="0DA387F7">
      <w:pPr>
        <w:spacing w:before="27"/>
      </w:pPr>
    </w:p>
    <w:tbl>
      <w:tblPr>
        <w:tblStyle w:val="9"/>
        <w:tblW w:w="143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018"/>
        <w:gridCol w:w="1899"/>
        <w:gridCol w:w="4077"/>
        <w:gridCol w:w="3148"/>
        <w:gridCol w:w="1204"/>
      </w:tblGrid>
      <w:tr w14:paraId="53EA9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994" w:type="dxa"/>
            <w:vAlign w:val="center"/>
          </w:tcPr>
          <w:p w14:paraId="64E24E3C">
            <w:pPr>
              <w:spacing w:before="95" w:line="221" w:lineRule="auto"/>
              <w:ind w:left="189"/>
              <w:jc w:val="center"/>
              <w:rPr>
                <w:rFonts w:hint="eastAsia" w:ascii="方正楷体_GBK" w:hAnsi="方正楷体_GBK" w:eastAsia="方正楷体_GBK" w:cs="方正楷体_GBK"/>
                <w:b/>
                <w:bCs/>
                <w:spacing w:val="-6"/>
                <w:sz w:val="24"/>
                <w:szCs w:val="24"/>
              </w:rPr>
            </w:pPr>
            <w:r>
              <w:rPr>
                <w:rFonts w:hint="eastAsia" w:ascii="方正楷体_GBK" w:hAnsi="方正楷体_GBK" w:eastAsia="方正楷体_GBK" w:cs="方正楷体_GBK"/>
                <w:b/>
                <w:bCs/>
                <w:spacing w:val="-6"/>
                <w:sz w:val="24"/>
                <w:szCs w:val="24"/>
              </w:rPr>
              <w:t>序号</w:t>
            </w:r>
          </w:p>
        </w:tc>
        <w:tc>
          <w:tcPr>
            <w:tcW w:w="3018" w:type="dxa"/>
            <w:vAlign w:val="center"/>
          </w:tcPr>
          <w:p w14:paraId="0E3B7FAD">
            <w:pPr>
              <w:spacing w:before="95" w:line="221" w:lineRule="auto"/>
              <w:ind w:left="189"/>
              <w:jc w:val="center"/>
              <w:rPr>
                <w:rFonts w:hint="eastAsia" w:ascii="方正楷体_GBK" w:hAnsi="方正楷体_GBK" w:eastAsia="方正楷体_GBK" w:cs="方正楷体_GBK"/>
                <w:b/>
                <w:bCs/>
                <w:spacing w:val="-6"/>
                <w:sz w:val="24"/>
                <w:szCs w:val="24"/>
              </w:rPr>
            </w:pPr>
            <w:r>
              <w:rPr>
                <w:rFonts w:hint="eastAsia" w:ascii="方正楷体_GBK" w:hAnsi="方正楷体_GBK" w:eastAsia="方正楷体_GBK" w:cs="方正楷体_GBK"/>
                <w:b/>
                <w:bCs/>
                <w:spacing w:val="-6"/>
                <w:sz w:val="24"/>
                <w:szCs w:val="24"/>
              </w:rPr>
              <w:t>行政处罚事项</w:t>
            </w:r>
          </w:p>
        </w:tc>
        <w:tc>
          <w:tcPr>
            <w:tcW w:w="1899" w:type="dxa"/>
            <w:vAlign w:val="center"/>
          </w:tcPr>
          <w:p w14:paraId="48F6C76B">
            <w:pPr>
              <w:spacing w:before="95" w:line="221" w:lineRule="auto"/>
              <w:ind w:left="189"/>
              <w:jc w:val="center"/>
              <w:rPr>
                <w:rFonts w:hint="eastAsia" w:ascii="方正楷体_GBK" w:hAnsi="方正楷体_GBK" w:eastAsia="方正楷体_GBK" w:cs="方正楷体_GBK"/>
                <w:b/>
                <w:bCs/>
                <w:spacing w:val="-6"/>
                <w:sz w:val="24"/>
                <w:szCs w:val="24"/>
              </w:rPr>
            </w:pPr>
            <w:r>
              <w:rPr>
                <w:rFonts w:hint="eastAsia" w:ascii="方正楷体_GBK" w:hAnsi="方正楷体_GBK" w:eastAsia="方正楷体_GBK" w:cs="方正楷体_GBK"/>
                <w:b/>
                <w:bCs/>
                <w:spacing w:val="-6"/>
                <w:sz w:val="24"/>
                <w:szCs w:val="24"/>
              </w:rPr>
              <w:t>实施机关</w:t>
            </w:r>
          </w:p>
        </w:tc>
        <w:tc>
          <w:tcPr>
            <w:tcW w:w="4077" w:type="dxa"/>
            <w:vAlign w:val="center"/>
          </w:tcPr>
          <w:p w14:paraId="50F64741">
            <w:pPr>
              <w:spacing w:before="95" w:line="221" w:lineRule="auto"/>
              <w:ind w:left="189"/>
              <w:jc w:val="center"/>
              <w:rPr>
                <w:rFonts w:hint="eastAsia" w:ascii="方正楷体_GBK" w:hAnsi="方正楷体_GBK" w:eastAsia="方正楷体_GBK" w:cs="方正楷体_GBK"/>
                <w:b/>
                <w:bCs/>
                <w:spacing w:val="-6"/>
                <w:sz w:val="24"/>
                <w:szCs w:val="24"/>
              </w:rPr>
            </w:pPr>
            <w:r>
              <w:rPr>
                <w:rFonts w:hint="eastAsia" w:ascii="方正楷体_GBK" w:hAnsi="方正楷体_GBK" w:eastAsia="方正楷体_GBK" w:cs="方正楷体_GBK"/>
                <w:b/>
                <w:bCs/>
                <w:spacing w:val="-6"/>
                <w:sz w:val="24"/>
                <w:szCs w:val="24"/>
              </w:rPr>
              <w:t>减轻处罚适用条件</w:t>
            </w:r>
          </w:p>
        </w:tc>
        <w:tc>
          <w:tcPr>
            <w:tcW w:w="3148" w:type="dxa"/>
            <w:vAlign w:val="center"/>
          </w:tcPr>
          <w:p w14:paraId="15702E42">
            <w:pPr>
              <w:spacing w:before="95" w:line="221" w:lineRule="auto"/>
              <w:ind w:left="189"/>
              <w:jc w:val="center"/>
              <w:rPr>
                <w:rFonts w:hint="eastAsia" w:ascii="方正楷体_GBK" w:hAnsi="方正楷体_GBK" w:eastAsia="方正楷体_GBK" w:cs="方正楷体_GBK"/>
                <w:b/>
                <w:bCs/>
                <w:spacing w:val="-6"/>
                <w:sz w:val="24"/>
                <w:szCs w:val="24"/>
              </w:rPr>
            </w:pPr>
            <w:r>
              <w:rPr>
                <w:rFonts w:hint="eastAsia" w:ascii="方正楷体_GBK" w:hAnsi="方正楷体_GBK" w:eastAsia="方正楷体_GBK" w:cs="方正楷体_GBK"/>
                <w:b/>
                <w:bCs/>
                <w:spacing w:val="-6"/>
                <w:sz w:val="24"/>
                <w:szCs w:val="24"/>
              </w:rPr>
              <w:t>法律依据</w:t>
            </w:r>
          </w:p>
        </w:tc>
        <w:tc>
          <w:tcPr>
            <w:tcW w:w="1204" w:type="dxa"/>
            <w:vAlign w:val="center"/>
          </w:tcPr>
          <w:p w14:paraId="49952245">
            <w:pPr>
              <w:spacing w:before="95" w:line="221" w:lineRule="auto"/>
              <w:ind w:left="189"/>
              <w:jc w:val="center"/>
              <w:rPr>
                <w:rFonts w:hint="eastAsia" w:ascii="方正楷体_GBK" w:hAnsi="方正楷体_GBK" w:eastAsia="方正楷体_GBK" w:cs="方正楷体_GBK"/>
                <w:b/>
                <w:bCs/>
                <w:spacing w:val="-6"/>
                <w:sz w:val="24"/>
                <w:szCs w:val="24"/>
              </w:rPr>
            </w:pPr>
            <w:r>
              <w:rPr>
                <w:rFonts w:hint="eastAsia" w:ascii="方正楷体_GBK" w:hAnsi="方正楷体_GBK" w:eastAsia="方正楷体_GBK" w:cs="方正楷体_GBK"/>
                <w:b/>
                <w:bCs/>
                <w:spacing w:val="-6"/>
                <w:sz w:val="24"/>
                <w:szCs w:val="24"/>
              </w:rPr>
              <w:t>备注</w:t>
            </w:r>
          </w:p>
        </w:tc>
      </w:tr>
      <w:tr w14:paraId="2C989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994" w:type="dxa"/>
            <w:vAlign w:val="center"/>
          </w:tcPr>
          <w:p w14:paraId="1A2C46EC">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1</w:t>
            </w:r>
          </w:p>
        </w:tc>
        <w:tc>
          <w:tcPr>
            <w:tcW w:w="3018" w:type="dxa"/>
            <w:vAlign w:val="center"/>
          </w:tcPr>
          <w:p w14:paraId="3C82ACF4">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依法应当编制水土保持方案的生产建设项目，未编制水土保持方案或者编制的水土保持方案未经批准而开工建设的，经责令限期补办，逾期不补办手续的</w:t>
            </w:r>
          </w:p>
        </w:tc>
        <w:tc>
          <w:tcPr>
            <w:tcW w:w="1899" w:type="dxa"/>
            <w:vAlign w:val="center"/>
          </w:tcPr>
          <w:p w14:paraId="4CC08D32">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77" w:type="dxa"/>
            <w:vAlign w:val="center"/>
          </w:tcPr>
          <w:p w14:paraId="6BC77F38">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开工建设的项目扰动面积在 500 平方米以下，在规定期限内停止违法行为的</w:t>
            </w:r>
          </w:p>
        </w:tc>
        <w:tc>
          <w:tcPr>
            <w:tcW w:w="3148" w:type="dxa"/>
            <w:vMerge w:val="restart"/>
            <w:vAlign w:val="center"/>
          </w:tcPr>
          <w:p w14:paraId="0D45D7E2">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《中华人民共和国水土保持法》第五十三条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14:paraId="2F5D5123">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（一）依法应当编制水土保持方案的生产建设项目，未编制水土保持方案或者编制的水土保持方案未经批准而开工建设的；</w:t>
            </w:r>
          </w:p>
          <w:p w14:paraId="509B0EFC">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（二）生产建设项目的地点、规模发生重大变化， 未补充、修改水土保持方案或者补充、修改的水土保持方案未经原审批机关批准的；</w:t>
            </w:r>
          </w:p>
          <w:p w14:paraId="05CD7E0C">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（三）水土保持方案实施过程中，未经原审批机关批准，对水土保持措施作出重大变更的。</w:t>
            </w:r>
          </w:p>
        </w:tc>
        <w:tc>
          <w:tcPr>
            <w:tcW w:w="1204" w:type="dxa"/>
            <w:vAlign w:val="center"/>
          </w:tcPr>
          <w:p w14:paraId="57033466">
            <w:pPr>
              <w:pStyle w:val="10"/>
              <w:jc w:val="center"/>
              <w:rPr>
                <w:rFonts w:hint="eastAsia" w:ascii="仿宋_GB2312" w:hAnsi="仿宋_GB2312" w:eastAsia="仿宋_GB2312" w:cs="仿宋_GB2312"/>
                <w:b w:val="0"/>
                <w:bCs w:val="0"/>
                <w:spacing w:val="-3"/>
                <w:kern w:val="2"/>
                <w:sz w:val="21"/>
                <w:szCs w:val="21"/>
                <w:lang w:val="en-US" w:eastAsia="en-US" w:bidi="ar-SA"/>
              </w:rPr>
            </w:pPr>
          </w:p>
        </w:tc>
      </w:tr>
      <w:tr w14:paraId="24CC6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994" w:type="dxa"/>
            <w:vAlign w:val="center"/>
          </w:tcPr>
          <w:p w14:paraId="786BE8B4">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2</w:t>
            </w:r>
          </w:p>
        </w:tc>
        <w:tc>
          <w:tcPr>
            <w:tcW w:w="3018" w:type="dxa"/>
            <w:vAlign w:val="center"/>
          </w:tcPr>
          <w:p w14:paraId="17957299">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生产建设项目的地点、规模发生重大变化，未补充、修改水土保持方案或者补充、修改的水土保持方案未经原审批机关批准的，经责令限期补办，逾期不补办手续的</w:t>
            </w:r>
          </w:p>
        </w:tc>
        <w:tc>
          <w:tcPr>
            <w:tcW w:w="1899" w:type="dxa"/>
            <w:vAlign w:val="center"/>
          </w:tcPr>
          <w:p w14:paraId="0913069E">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77" w:type="dxa"/>
            <w:vAlign w:val="center"/>
          </w:tcPr>
          <w:p w14:paraId="1F017707">
            <w:pPr>
              <w:pStyle w:val="10"/>
              <w:jc w:val="center"/>
              <w:rPr>
                <w:rFonts w:hint="eastAsia" w:ascii="仿宋_GB2312" w:hAnsi="仿宋_GB2312" w:eastAsia="仿宋_GB2312" w:cs="仿宋_GB2312"/>
                <w:b w:val="0"/>
                <w:bCs w:val="0"/>
                <w:spacing w:val="-3"/>
                <w:kern w:val="2"/>
                <w:sz w:val="21"/>
                <w:szCs w:val="21"/>
                <w:lang w:val="en-US" w:eastAsia="en-US" w:bidi="ar-SA"/>
              </w:rPr>
            </w:pPr>
          </w:p>
          <w:p w14:paraId="0CE0FAFA">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生产建设项目扰动面积在800 平方米以下，在规定期限内停止违法行为的</w:t>
            </w:r>
          </w:p>
        </w:tc>
        <w:tc>
          <w:tcPr>
            <w:tcW w:w="3148" w:type="dxa"/>
            <w:vMerge w:val="continue"/>
            <w:vAlign w:val="center"/>
          </w:tcPr>
          <w:p w14:paraId="7F07CA13">
            <w:pPr>
              <w:pStyle w:val="10"/>
              <w:jc w:val="center"/>
              <w:rPr>
                <w:rFonts w:hint="eastAsia" w:ascii="仿宋_GB2312" w:hAnsi="仿宋_GB2312" w:eastAsia="仿宋_GB2312" w:cs="仿宋_GB2312"/>
                <w:b w:val="0"/>
                <w:bCs w:val="0"/>
                <w:spacing w:val="-3"/>
                <w:kern w:val="2"/>
                <w:sz w:val="21"/>
                <w:szCs w:val="21"/>
                <w:lang w:val="en-US" w:eastAsia="en-US" w:bidi="ar-SA"/>
              </w:rPr>
            </w:pPr>
          </w:p>
        </w:tc>
        <w:tc>
          <w:tcPr>
            <w:tcW w:w="1204" w:type="dxa"/>
            <w:vAlign w:val="center"/>
          </w:tcPr>
          <w:p w14:paraId="1DF4574B">
            <w:pPr>
              <w:pStyle w:val="10"/>
              <w:jc w:val="center"/>
              <w:rPr>
                <w:rFonts w:hint="eastAsia" w:ascii="仿宋_GB2312" w:hAnsi="仿宋_GB2312" w:eastAsia="仿宋_GB2312" w:cs="仿宋_GB2312"/>
                <w:b w:val="0"/>
                <w:bCs w:val="0"/>
                <w:spacing w:val="-3"/>
                <w:kern w:val="2"/>
                <w:sz w:val="21"/>
                <w:szCs w:val="21"/>
                <w:lang w:val="en-US" w:eastAsia="en-US" w:bidi="ar-SA"/>
              </w:rPr>
            </w:pPr>
          </w:p>
        </w:tc>
      </w:tr>
      <w:tr w14:paraId="26522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994" w:type="dxa"/>
            <w:vAlign w:val="center"/>
          </w:tcPr>
          <w:p w14:paraId="462B69EB">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3</w:t>
            </w:r>
          </w:p>
        </w:tc>
        <w:tc>
          <w:tcPr>
            <w:tcW w:w="3018" w:type="dxa"/>
            <w:vAlign w:val="center"/>
          </w:tcPr>
          <w:p w14:paraId="2E48BF6A">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水土保持方案实施过程中，未经原审批机关批准，对水土保持措施作出重大变更的，经责令限期补办，逾期不补办手续的</w:t>
            </w:r>
          </w:p>
        </w:tc>
        <w:tc>
          <w:tcPr>
            <w:tcW w:w="1899" w:type="dxa"/>
            <w:vAlign w:val="center"/>
          </w:tcPr>
          <w:p w14:paraId="1101E227">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77" w:type="dxa"/>
            <w:vAlign w:val="center"/>
          </w:tcPr>
          <w:p w14:paraId="39C581FA">
            <w:pPr>
              <w:pStyle w:val="10"/>
              <w:jc w:val="center"/>
              <w:rPr>
                <w:rFonts w:hint="eastAsia" w:ascii="仿宋_GB2312" w:hAnsi="仿宋_GB2312" w:eastAsia="仿宋_GB2312" w:cs="仿宋_GB2312"/>
                <w:b w:val="0"/>
                <w:bCs w:val="0"/>
                <w:spacing w:val="-3"/>
                <w:kern w:val="2"/>
                <w:sz w:val="21"/>
                <w:szCs w:val="21"/>
                <w:lang w:val="en-US" w:eastAsia="en-US" w:bidi="ar-SA"/>
              </w:rPr>
            </w:pPr>
          </w:p>
          <w:p w14:paraId="1088D223">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生产建设项目扰动面积在1000 平方米以下，在规定期限内停止违法行为的</w:t>
            </w:r>
          </w:p>
        </w:tc>
        <w:tc>
          <w:tcPr>
            <w:tcW w:w="3148" w:type="dxa"/>
            <w:vMerge w:val="continue"/>
            <w:vAlign w:val="center"/>
          </w:tcPr>
          <w:p w14:paraId="700EE50C">
            <w:pPr>
              <w:pStyle w:val="10"/>
              <w:jc w:val="center"/>
              <w:rPr>
                <w:rFonts w:hint="eastAsia" w:ascii="仿宋_GB2312" w:hAnsi="仿宋_GB2312" w:eastAsia="仿宋_GB2312" w:cs="仿宋_GB2312"/>
                <w:b w:val="0"/>
                <w:bCs w:val="0"/>
                <w:spacing w:val="-3"/>
                <w:kern w:val="2"/>
                <w:sz w:val="21"/>
                <w:szCs w:val="21"/>
                <w:lang w:val="en-US" w:eastAsia="en-US" w:bidi="ar-SA"/>
              </w:rPr>
            </w:pPr>
          </w:p>
        </w:tc>
        <w:tc>
          <w:tcPr>
            <w:tcW w:w="1204" w:type="dxa"/>
            <w:vAlign w:val="center"/>
          </w:tcPr>
          <w:p w14:paraId="04639894">
            <w:pPr>
              <w:pStyle w:val="10"/>
              <w:jc w:val="center"/>
              <w:rPr>
                <w:rFonts w:hint="eastAsia" w:ascii="仿宋_GB2312" w:hAnsi="仿宋_GB2312" w:eastAsia="仿宋_GB2312" w:cs="仿宋_GB2312"/>
                <w:b w:val="0"/>
                <w:bCs w:val="0"/>
                <w:spacing w:val="-3"/>
                <w:kern w:val="2"/>
                <w:sz w:val="21"/>
                <w:szCs w:val="21"/>
                <w:lang w:val="en-US" w:eastAsia="en-US" w:bidi="ar-SA"/>
              </w:rPr>
            </w:pPr>
          </w:p>
        </w:tc>
      </w:tr>
      <w:tr w14:paraId="351FD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994" w:type="dxa"/>
            <w:vAlign w:val="center"/>
          </w:tcPr>
          <w:p w14:paraId="44B36B0E">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4</w:t>
            </w:r>
          </w:p>
        </w:tc>
        <w:tc>
          <w:tcPr>
            <w:tcW w:w="3018" w:type="dxa"/>
            <w:vAlign w:val="center"/>
          </w:tcPr>
          <w:p w14:paraId="0E9A9C5A">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水土保持设施未经验收或者验收不合格将生产建设项目投产使用的</w:t>
            </w:r>
          </w:p>
        </w:tc>
        <w:tc>
          <w:tcPr>
            <w:tcW w:w="1899" w:type="dxa"/>
            <w:vAlign w:val="center"/>
          </w:tcPr>
          <w:p w14:paraId="1DECCA8A">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77" w:type="dxa"/>
            <w:vAlign w:val="center"/>
          </w:tcPr>
          <w:p w14:paraId="7E04E758">
            <w:pPr>
              <w:pStyle w:val="10"/>
              <w:jc w:val="center"/>
              <w:rPr>
                <w:rFonts w:hint="eastAsia" w:ascii="仿宋_GB2312" w:hAnsi="仿宋_GB2312" w:eastAsia="仿宋_GB2312" w:cs="仿宋_GB2312"/>
                <w:b w:val="0"/>
                <w:bCs w:val="0"/>
                <w:spacing w:val="-3"/>
                <w:kern w:val="2"/>
                <w:sz w:val="21"/>
                <w:szCs w:val="21"/>
                <w:lang w:val="en-US" w:eastAsia="en-US" w:bidi="ar-SA"/>
              </w:rPr>
            </w:pPr>
          </w:p>
          <w:p w14:paraId="35C3833B">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水土保持设施未经验收或者验收不合格投入使用， 经责令停止生产或者使用，在规定期限内验收合格的</w:t>
            </w:r>
          </w:p>
        </w:tc>
        <w:tc>
          <w:tcPr>
            <w:tcW w:w="3148" w:type="dxa"/>
            <w:vAlign w:val="center"/>
          </w:tcPr>
          <w:p w14:paraId="1EF2771B">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《中华人民共和国水土保持法》第五十四条 违反本法规定，水土保持设施未经验收或者验收不合格将生产建设项目投产使用的，由县级以上人民政府水行政主管部门责令停止生产或者使用， 直至验收合格，并处五万元以上五十万元以下的罚款。</w:t>
            </w:r>
          </w:p>
        </w:tc>
        <w:tc>
          <w:tcPr>
            <w:tcW w:w="1204" w:type="dxa"/>
            <w:vAlign w:val="center"/>
          </w:tcPr>
          <w:p w14:paraId="44B0ED8B">
            <w:pPr>
              <w:pStyle w:val="10"/>
              <w:jc w:val="center"/>
              <w:rPr>
                <w:rFonts w:hint="eastAsia" w:ascii="仿宋_GB2312" w:hAnsi="仿宋_GB2312" w:eastAsia="仿宋_GB2312" w:cs="仿宋_GB2312"/>
                <w:b w:val="0"/>
                <w:bCs w:val="0"/>
                <w:spacing w:val="-3"/>
                <w:kern w:val="2"/>
                <w:sz w:val="21"/>
                <w:szCs w:val="21"/>
                <w:lang w:val="en-US" w:eastAsia="en-US" w:bidi="ar-SA"/>
              </w:rPr>
            </w:pPr>
          </w:p>
        </w:tc>
      </w:tr>
      <w:tr w14:paraId="6BD93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994" w:type="dxa"/>
            <w:vAlign w:val="center"/>
          </w:tcPr>
          <w:p w14:paraId="05609628">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5</w:t>
            </w:r>
          </w:p>
        </w:tc>
        <w:tc>
          <w:tcPr>
            <w:tcW w:w="3018" w:type="dxa"/>
            <w:vAlign w:val="center"/>
          </w:tcPr>
          <w:p w14:paraId="59259884">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在水土保持方案确定的专门存放地以外的区域倾倒砂、石、土、矸石、尾矿、废渣等的</w:t>
            </w:r>
          </w:p>
        </w:tc>
        <w:tc>
          <w:tcPr>
            <w:tcW w:w="1899" w:type="dxa"/>
            <w:vAlign w:val="center"/>
          </w:tcPr>
          <w:p w14:paraId="2968C035">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77" w:type="dxa"/>
            <w:vAlign w:val="center"/>
          </w:tcPr>
          <w:p w14:paraId="2EA5B9D5">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倾倒数量达 50 立方米以下的</w:t>
            </w:r>
          </w:p>
        </w:tc>
        <w:tc>
          <w:tcPr>
            <w:tcW w:w="3148" w:type="dxa"/>
            <w:vAlign w:val="center"/>
          </w:tcPr>
          <w:p w14:paraId="00F942EA">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《中华人民共和国水土保持法》第五十五条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w:t>
            </w:r>
          </w:p>
          <w:p w14:paraId="0C9BD845">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由违法行为人承担。</w:t>
            </w:r>
          </w:p>
        </w:tc>
        <w:tc>
          <w:tcPr>
            <w:tcW w:w="1204" w:type="dxa"/>
            <w:vAlign w:val="center"/>
          </w:tcPr>
          <w:p w14:paraId="6CE1E074">
            <w:pPr>
              <w:pStyle w:val="10"/>
              <w:jc w:val="center"/>
              <w:rPr>
                <w:rFonts w:hint="eastAsia" w:ascii="仿宋_GB2312" w:hAnsi="仿宋_GB2312" w:eastAsia="仿宋_GB2312" w:cs="仿宋_GB2312"/>
                <w:b w:val="0"/>
                <w:bCs w:val="0"/>
                <w:spacing w:val="-3"/>
                <w:kern w:val="2"/>
                <w:sz w:val="21"/>
                <w:szCs w:val="21"/>
                <w:lang w:val="en-US" w:eastAsia="en-US" w:bidi="ar-SA"/>
              </w:rPr>
            </w:pPr>
          </w:p>
        </w:tc>
      </w:tr>
      <w:tr w14:paraId="33790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994" w:type="dxa"/>
            <w:vAlign w:val="center"/>
          </w:tcPr>
          <w:p w14:paraId="7E984917">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6</w:t>
            </w:r>
          </w:p>
        </w:tc>
        <w:tc>
          <w:tcPr>
            <w:tcW w:w="3018" w:type="dxa"/>
            <w:vAlign w:val="center"/>
          </w:tcPr>
          <w:p w14:paraId="3B0B9F65">
            <w:pPr>
              <w:pStyle w:val="10"/>
              <w:jc w:val="center"/>
              <w:rPr>
                <w:rFonts w:hint="eastAsia" w:ascii="仿宋_GB2312" w:hAnsi="仿宋_GB2312" w:eastAsia="仿宋_GB2312" w:cs="仿宋_GB2312"/>
                <w:b w:val="0"/>
                <w:bCs w:val="0"/>
                <w:spacing w:val="-3"/>
                <w:kern w:val="2"/>
                <w:sz w:val="21"/>
                <w:szCs w:val="21"/>
                <w:lang w:val="en-US" w:eastAsia="en-US" w:bidi="ar-SA"/>
              </w:rPr>
            </w:pPr>
          </w:p>
          <w:p w14:paraId="6DDB26E1">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拒不缴纳水土保持补偿费的</w:t>
            </w:r>
          </w:p>
        </w:tc>
        <w:tc>
          <w:tcPr>
            <w:tcW w:w="1899" w:type="dxa"/>
            <w:vAlign w:val="center"/>
          </w:tcPr>
          <w:p w14:paraId="43B4BC24">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77" w:type="dxa"/>
            <w:vAlign w:val="center"/>
          </w:tcPr>
          <w:p w14:paraId="79F512E7">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超过规定的缴纳期限，欠费数额占应缴水土保持补偿费总额 30%以内的</w:t>
            </w:r>
          </w:p>
        </w:tc>
        <w:tc>
          <w:tcPr>
            <w:tcW w:w="3148" w:type="dxa"/>
            <w:vAlign w:val="center"/>
          </w:tcPr>
          <w:p w14:paraId="20D12D84">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《中华人民共和国水土保持法》第五十七条 违反本法规定，拒不缴纳水土保持补偿费的，由县级以上人民政府水行政主管部门责令限期缴纳； 逾期不缴纳的，自滞纳之日起按日加收滞纳部分万分之五的滞纳金，可以处应缴水土保持补偿费三倍以下的罚款。</w:t>
            </w:r>
          </w:p>
        </w:tc>
        <w:tc>
          <w:tcPr>
            <w:tcW w:w="1204" w:type="dxa"/>
            <w:vAlign w:val="center"/>
          </w:tcPr>
          <w:p w14:paraId="60CE043C">
            <w:pPr>
              <w:pStyle w:val="10"/>
              <w:jc w:val="center"/>
              <w:rPr>
                <w:rFonts w:hint="eastAsia" w:ascii="仿宋_GB2312" w:hAnsi="仿宋_GB2312" w:eastAsia="仿宋_GB2312" w:cs="仿宋_GB2312"/>
                <w:b w:val="0"/>
                <w:bCs w:val="0"/>
                <w:spacing w:val="-3"/>
                <w:kern w:val="2"/>
                <w:sz w:val="21"/>
                <w:szCs w:val="21"/>
                <w:lang w:val="en-US" w:eastAsia="en-US" w:bidi="ar-SA"/>
              </w:rPr>
            </w:pPr>
          </w:p>
        </w:tc>
      </w:tr>
      <w:tr w14:paraId="2B085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994" w:type="dxa"/>
            <w:vAlign w:val="center"/>
          </w:tcPr>
          <w:p w14:paraId="666CF96A">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7</w:t>
            </w:r>
          </w:p>
        </w:tc>
        <w:tc>
          <w:tcPr>
            <w:tcW w:w="3018" w:type="dxa"/>
            <w:vAlign w:val="center"/>
          </w:tcPr>
          <w:p w14:paraId="04C18F69">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擅自设置取水工程和取水设施， 逾期不拆除或者不封闭的</w:t>
            </w:r>
          </w:p>
        </w:tc>
        <w:tc>
          <w:tcPr>
            <w:tcW w:w="1899" w:type="dxa"/>
            <w:vAlign w:val="center"/>
          </w:tcPr>
          <w:p w14:paraId="62F2F381">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77" w:type="dxa"/>
            <w:vAlign w:val="center"/>
          </w:tcPr>
          <w:p w14:paraId="660C4598">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组织拆除或者封闭的预计费用在一万元以下的</w:t>
            </w:r>
          </w:p>
        </w:tc>
        <w:tc>
          <w:tcPr>
            <w:tcW w:w="3148" w:type="dxa"/>
            <w:vAlign w:val="center"/>
          </w:tcPr>
          <w:p w14:paraId="7CFA7641">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《取水许可和水资源费征收管理条例》第四十九条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 5 万元以下罚款。</w:t>
            </w:r>
          </w:p>
        </w:tc>
        <w:tc>
          <w:tcPr>
            <w:tcW w:w="1204" w:type="dxa"/>
            <w:vAlign w:val="center"/>
          </w:tcPr>
          <w:p w14:paraId="7B10ECF0">
            <w:pPr>
              <w:pStyle w:val="10"/>
              <w:jc w:val="center"/>
              <w:rPr>
                <w:rFonts w:hint="eastAsia" w:ascii="仿宋_GB2312" w:hAnsi="仿宋_GB2312" w:eastAsia="仿宋_GB2312" w:cs="仿宋_GB2312"/>
                <w:b w:val="0"/>
                <w:bCs w:val="0"/>
                <w:spacing w:val="-3"/>
                <w:kern w:val="2"/>
                <w:sz w:val="21"/>
                <w:szCs w:val="21"/>
                <w:lang w:val="en-US" w:eastAsia="en-US" w:bidi="ar-SA"/>
              </w:rPr>
            </w:pPr>
          </w:p>
        </w:tc>
      </w:tr>
      <w:tr w14:paraId="0E89A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994" w:type="dxa"/>
            <w:vAlign w:val="center"/>
          </w:tcPr>
          <w:p w14:paraId="05CBCC0E">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8</w:t>
            </w:r>
          </w:p>
        </w:tc>
        <w:tc>
          <w:tcPr>
            <w:tcW w:w="3018" w:type="dxa"/>
            <w:vAlign w:val="center"/>
          </w:tcPr>
          <w:p w14:paraId="7BC3381D">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未安装计量设施的</w:t>
            </w:r>
          </w:p>
        </w:tc>
        <w:tc>
          <w:tcPr>
            <w:tcW w:w="1899" w:type="dxa"/>
            <w:vAlign w:val="center"/>
          </w:tcPr>
          <w:p w14:paraId="1417E2D0">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77" w:type="dxa"/>
            <w:vAlign w:val="center"/>
          </w:tcPr>
          <w:p w14:paraId="7A3FB7AA">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少量用水、在规定期限内安装到位的</w:t>
            </w:r>
          </w:p>
        </w:tc>
        <w:tc>
          <w:tcPr>
            <w:tcW w:w="3148" w:type="dxa"/>
            <w:vMerge w:val="restart"/>
            <w:vAlign w:val="center"/>
          </w:tcPr>
          <w:p w14:paraId="6D4AB9FE">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《取水许可和水资源费征收管理条例》第五十三条 未安装计量设施的，责令限期安装，并按照日最大取水能力计算的取水量和水资源费征收标准计征水资源费，处 5000 元以上 2 万元以下罚款；情节严重的，吊销取水许可证。</w:t>
            </w:r>
          </w:p>
          <w:p w14:paraId="3746665B">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计量设施不合格或者运行不正常的，责令限期更换或者修复；逾期不更换或者不修复的，按照日最大取水能力计算的取水量和水资源费征收标准计征水资源费，可以处 1 万元以下罚款；情节严重的，吊销取水许可证。</w:t>
            </w:r>
          </w:p>
        </w:tc>
        <w:tc>
          <w:tcPr>
            <w:tcW w:w="1204" w:type="dxa"/>
            <w:vAlign w:val="center"/>
          </w:tcPr>
          <w:p w14:paraId="7E708088">
            <w:pPr>
              <w:pStyle w:val="10"/>
              <w:jc w:val="center"/>
              <w:rPr>
                <w:rFonts w:hint="eastAsia" w:ascii="仿宋_GB2312" w:hAnsi="仿宋_GB2312" w:eastAsia="仿宋_GB2312" w:cs="仿宋_GB2312"/>
                <w:b w:val="0"/>
                <w:bCs w:val="0"/>
                <w:spacing w:val="-3"/>
                <w:kern w:val="2"/>
                <w:sz w:val="21"/>
                <w:szCs w:val="21"/>
                <w:lang w:val="en-US" w:eastAsia="en-US" w:bidi="ar-SA"/>
              </w:rPr>
            </w:pPr>
          </w:p>
        </w:tc>
      </w:tr>
      <w:tr w14:paraId="408F4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994" w:type="dxa"/>
            <w:vAlign w:val="center"/>
          </w:tcPr>
          <w:p w14:paraId="20947603">
            <w:pPr>
              <w:pStyle w:val="10"/>
              <w:jc w:val="center"/>
              <w:rPr>
                <w:rFonts w:hint="eastAsia" w:ascii="仿宋_GB2312" w:hAnsi="仿宋_GB2312" w:eastAsia="仿宋_GB2312" w:cs="仿宋_GB2312"/>
                <w:b w:val="0"/>
                <w:bCs w:val="0"/>
                <w:spacing w:val="-3"/>
                <w:kern w:val="2"/>
                <w:sz w:val="21"/>
                <w:szCs w:val="21"/>
                <w:lang w:val="en-US" w:eastAsia="zh-CN" w:bidi="ar-SA"/>
              </w:rPr>
            </w:pPr>
            <w:r>
              <w:rPr>
                <w:rFonts w:hint="eastAsia" w:ascii="仿宋_GB2312" w:hAnsi="仿宋_GB2312" w:eastAsia="仿宋_GB2312" w:cs="仿宋_GB2312"/>
                <w:b w:val="0"/>
                <w:bCs w:val="0"/>
                <w:spacing w:val="-3"/>
                <w:kern w:val="2"/>
                <w:sz w:val="21"/>
                <w:szCs w:val="21"/>
                <w:lang w:val="en-US" w:eastAsia="zh-CN" w:bidi="ar-SA"/>
              </w:rPr>
              <w:t>9</w:t>
            </w:r>
          </w:p>
        </w:tc>
        <w:tc>
          <w:tcPr>
            <w:tcW w:w="3018" w:type="dxa"/>
            <w:vAlign w:val="center"/>
          </w:tcPr>
          <w:p w14:paraId="5D51ED64">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计量设施不合格或者运行不正常，逾期不更换或者不修复的</w:t>
            </w:r>
          </w:p>
        </w:tc>
        <w:tc>
          <w:tcPr>
            <w:tcW w:w="1899" w:type="dxa"/>
            <w:vAlign w:val="center"/>
          </w:tcPr>
          <w:p w14:paraId="2A5D8237">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zh-CN" w:bidi="ar-SA"/>
              </w:rPr>
              <w:t>益阳市水利局</w:t>
            </w:r>
          </w:p>
        </w:tc>
        <w:tc>
          <w:tcPr>
            <w:tcW w:w="4077" w:type="dxa"/>
            <w:vAlign w:val="center"/>
          </w:tcPr>
          <w:p w14:paraId="550961C6">
            <w:pPr>
              <w:pStyle w:val="10"/>
              <w:jc w:val="center"/>
              <w:rPr>
                <w:rFonts w:hint="eastAsia" w:ascii="仿宋_GB2312" w:hAnsi="仿宋_GB2312" w:eastAsia="仿宋_GB2312" w:cs="仿宋_GB2312"/>
                <w:b w:val="0"/>
                <w:bCs w:val="0"/>
                <w:spacing w:val="-3"/>
                <w:kern w:val="2"/>
                <w:sz w:val="21"/>
                <w:szCs w:val="21"/>
                <w:lang w:val="en-US" w:eastAsia="en-US" w:bidi="ar-SA"/>
              </w:rPr>
            </w:pPr>
            <w:r>
              <w:rPr>
                <w:rFonts w:hint="eastAsia" w:ascii="仿宋_GB2312" w:hAnsi="仿宋_GB2312" w:eastAsia="仿宋_GB2312" w:cs="仿宋_GB2312"/>
                <w:b w:val="0"/>
                <w:bCs w:val="0"/>
                <w:spacing w:val="-3"/>
                <w:kern w:val="2"/>
                <w:sz w:val="21"/>
                <w:szCs w:val="21"/>
                <w:lang w:val="en-US" w:eastAsia="en-US" w:bidi="ar-SA"/>
              </w:rPr>
              <w:t>不合格的计量设施投入使用时间在一周以下，经责令及时更换、修复，未造成损失的</w:t>
            </w:r>
          </w:p>
        </w:tc>
        <w:tc>
          <w:tcPr>
            <w:tcW w:w="3148" w:type="dxa"/>
            <w:vMerge w:val="continue"/>
            <w:vAlign w:val="center"/>
          </w:tcPr>
          <w:p w14:paraId="24E63159">
            <w:pPr>
              <w:pStyle w:val="10"/>
              <w:jc w:val="center"/>
              <w:rPr>
                <w:rFonts w:hint="eastAsia" w:ascii="仿宋_GB2312" w:hAnsi="仿宋_GB2312" w:eastAsia="仿宋_GB2312" w:cs="仿宋_GB2312"/>
                <w:b w:val="0"/>
                <w:bCs w:val="0"/>
                <w:spacing w:val="-3"/>
                <w:kern w:val="2"/>
                <w:sz w:val="21"/>
                <w:szCs w:val="21"/>
                <w:lang w:val="en-US" w:eastAsia="en-US" w:bidi="ar-SA"/>
              </w:rPr>
            </w:pPr>
          </w:p>
        </w:tc>
        <w:tc>
          <w:tcPr>
            <w:tcW w:w="1204" w:type="dxa"/>
            <w:vAlign w:val="center"/>
          </w:tcPr>
          <w:p w14:paraId="47C341EB">
            <w:pPr>
              <w:pStyle w:val="10"/>
              <w:jc w:val="center"/>
              <w:rPr>
                <w:rFonts w:hint="eastAsia" w:ascii="仿宋_GB2312" w:hAnsi="仿宋_GB2312" w:eastAsia="仿宋_GB2312" w:cs="仿宋_GB2312"/>
                <w:b w:val="0"/>
                <w:bCs w:val="0"/>
                <w:spacing w:val="-3"/>
                <w:kern w:val="2"/>
                <w:sz w:val="21"/>
                <w:szCs w:val="21"/>
                <w:lang w:val="en-US" w:eastAsia="en-US" w:bidi="ar-SA"/>
              </w:rPr>
            </w:pPr>
          </w:p>
        </w:tc>
      </w:tr>
    </w:tbl>
    <w:p w14:paraId="66A95546">
      <w:pPr>
        <w:pStyle w:val="10"/>
        <w:jc w:val="center"/>
        <w:rPr>
          <w:rFonts w:hint="eastAsia" w:ascii="宋体" w:hAnsi="宋体" w:eastAsia="宋体" w:cs="宋体"/>
          <w:b w:val="0"/>
          <w:bCs w:val="0"/>
          <w:spacing w:val="-3"/>
          <w:kern w:val="2"/>
          <w:sz w:val="21"/>
          <w:szCs w:val="21"/>
          <w:lang w:val="en-US" w:eastAsia="en-US" w:bidi="ar-SA"/>
        </w:rPr>
        <w:sectPr>
          <w:footerReference r:id="rId5" w:type="default"/>
          <w:pgSz w:w="16830" w:h="11900"/>
          <w:pgMar w:top="1011" w:right="1405" w:bottom="1301" w:left="1074" w:header="0" w:footer="1101" w:gutter="0"/>
          <w:pgNumType w:fmt="numberInDash"/>
          <w:cols w:space="720" w:num="1"/>
        </w:sectPr>
      </w:pPr>
    </w:p>
    <w:p w14:paraId="01EB0B34">
      <w:pPr>
        <w:spacing w:line="244" w:lineRule="auto"/>
        <w:jc w:val="center"/>
        <w:rPr>
          <w:rFonts w:ascii="Arial"/>
          <w:sz w:val="21"/>
        </w:rPr>
      </w:pPr>
    </w:p>
    <w:p w14:paraId="121C794F">
      <w:pPr>
        <w:spacing w:before="104" w:line="220" w:lineRule="auto"/>
        <w:jc w:val="center"/>
        <w:rPr>
          <w:rFonts w:hint="eastAsia" w:ascii="方正小标宋简体" w:hAnsi="方正小标宋简体" w:eastAsia="方正小标宋简体" w:cs="方正小标宋简体"/>
          <w:b w:val="0"/>
          <w:bCs w:val="0"/>
          <w:spacing w:val="-3"/>
          <w:sz w:val="32"/>
          <w:szCs w:val="32"/>
        </w:rPr>
      </w:pPr>
      <w:r>
        <w:rPr>
          <w:rFonts w:hint="eastAsia" w:ascii="方正小标宋简体" w:hAnsi="方正小标宋简体" w:eastAsia="方正小标宋简体" w:cs="方正小标宋简体"/>
          <w:b w:val="0"/>
          <w:bCs w:val="0"/>
          <w:spacing w:val="-3"/>
          <w:sz w:val="32"/>
          <w:szCs w:val="32"/>
        </w:rPr>
        <w:t>不予实施行政强制措施事项清单</w:t>
      </w:r>
    </w:p>
    <w:p w14:paraId="23C4B9B2">
      <w:pPr>
        <w:spacing w:before="52"/>
      </w:pPr>
    </w:p>
    <w:tbl>
      <w:tblPr>
        <w:tblStyle w:val="9"/>
        <w:tblW w:w="143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2998"/>
        <w:gridCol w:w="1929"/>
        <w:gridCol w:w="4067"/>
        <w:gridCol w:w="3138"/>
        <w:gridCol w:w="1204"/>
      </w:tblGrid>
      <w:tr w14:paraId="19F6E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1004" w:type="dxa"/>
            <w:vAlign w:val="center"/>
          </w:tcPr>
          <w:p w14:paraId="0CF9F6FA">
            <w:pPr>
              <w:spacing w:before="95" w:line="221" w:lineRule="auto"/>
              <w:ind w:left="189"/>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pacing w:val="-6"/>
                <w:sz w:val="24"/>
                <w:szCs w:val="24"/>
              </w:rPr>
              <w:t>序号</w:t>
            </w:r>
          </w:p>
        </w:tc>
        <w:tc>
          <w:tcPr>
            <w:tcW w:w="2998" w:type="dxa"/>
            <w:vAlign w:val="center"/>
          </w:tcPr>
          <w:p w14:paraId="37D0CA0E">
            <w:pPr>
              <w:spacing w:before="94" w:line="220" w:lineRule="auto"/>
              <w:ind w:left="645"/>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pacing w:val="-2"/>
                <w:sz w:val="24"/>
                <w:szCs w:val="24"/>
              </w:rPr>
              <w:t>行政强制事项</w:t>
            </w:r>
          </w:p>
        </w:tc>
        <w:tc>
          <w:tcPr>
            <w:tcW w:w="1929" w:type="dxa"/>
            <w:vAlign w:val="center"/>
          </w:tcPr>
          <w:p w14:paraId="77687BF9">
            <w:pPr>
              <w:spacing w:before="94" w:line="219" w:lineRule="auto"/>
              <w:ind w:left="387"/>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pacing w:val="-2"/>
                <w:sz w:val="24"/>
                <w:szCs w:val="24"/>
              </w:rPr>
              <w:t>实施机关</w:t>
            </w:r>
          </w:p>
        </w:tc>
        <w:tc>
          <w:tcPr>
            <w:tcW w:w="4067" w:type="dxa"/>
            <w:vAlign w:val="center"/>
          </w:tcPr>
          <w:p w14:paraId="5FD4E13C">
            <w:pPr>
              <w:spacing w:before="94" w:line="219" w:lineRule="auto"/>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pacing w:val="-15"/>
                <w:sz w:val="24"/>
                <w:szCs w:val="24"/>
              </w:rPr>
              <w:t>不</w:t>
            </w:r>
            <w:r>
              <w:rPr>
                <w:rFonts w:hint="eastAsia" w:ascii="方正楷体_GBK" w:hAnsi="方正楷体_GBK" w:eastAsia="方正楷体_GBK" w:cs="方正楷体_GBK"/>
                <w:b/>
                <w:bCs/>
                <w:spacing w:val="-14"/>
                <w:sz w:val="24"/>
                <w:szCs w:val="24"/>
              </w:rPr>
              <w:t>予实施行政强制措施适用条</w:t>
            </w:r>
            <w:r>
              <w:rPr>
                <w:rFonts w:hint="eastAsia" w:ascii="方正楷体_GBK" w:hAnsi="方正楷体_GBK" w:eastAsia="方正楷体_GBK" w:cs="方正楷体_GBK"/>
                <w:b/>
                <w:bCs/>
                <w:spacing w:val="-13"/>
                <w:sz w:val="24"/>
                <w:szCs w:val="24"/>
              </w:rPr>
              <w:t>件</w:t>
            </w:r>
          </w:p>
        </w:tc>
        <w:tc>
          <w:tcPr>
            <w:tcW w:w="3138" w:type="dxa"/>
            <w:vAlign w:val="center"/>
          </w:tcPr>
          <w:p w14:paraId="632FF1BD">
            <w:pPr>
              <w:spacing w:before="94" w:line="219" w:lineRule="auto"/>
              <w:ind w:left="1001"/>
              <w:jc w:val="both"/>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pacing w:val="-1"/>
                <w:sz w:val="24"/>
                <w:szCs w:val="24"/>
              </w:rPr>
              <w:t>法律依据</w:t>
            </w:r>
          </w:p>
        </w:tc>
        <w:tc>
          <w:tcPr>
            <w:tcW w:w="1204" w:type="dxa"/>
            <w:vAlign w:val="center"/>
          </w:tcPr>
          <w:p w14:paraId="793A777A">
            <w:pPr>
              <w:spacing w:before="95" w:line="221" w:lineRule="auto"/>
              <w:ind w:left="303"/>
              <w:jc w:val="both"/>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z w:val="24"/>
                <w:szCs w:val="24"/>
              </w:rPr>
              <w:t>备注</w:t>
            </w:r>
          </w:p>
        </w:tc>
      </w:tr>
      <w:tr w14:paraId="74384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004" w:type="dxa"/>
            <w:vAlign w:val="top"/>
          </w:tcPr>
          <w:p w14:paraId="12B2B132">
            <w:pPr>
              <w:pStyle w:val="10"/>
            </w:pPr>
          </w:p>
        </w:tc>
        <w:tc>
          <w:tcPr>
            <w:tcW w:w="2998" w:type="dxa"/>
            <w:vAlign w:val="top"/>
          </w:tcPr>
          <w:p w14:paraId="5E6EE864">
            <w:pPr>
              <w:pStyle w:val="10"/>
            </w:pPr>
          </w:p>
          <w:p w14:paraId="2272E711">
            <w:pPr>
              <w:bidi w:val="0"/>
              <w:jc w:val="center"/>
              <w:rPr>
                <w:rFonts w:hint="eastAsia" w:eastAsiaTheme="minorEastAsia"/>
                <w:lang w:val="en-US" w:eastAsia="zh-CN"/>
              </w:rPr>
            </w:pPr>
            <w:r>
              <w:rPr>
                <w:rFonts w:hint="eastAsia"/>
                <w:lang w:val="en-US" w:eastAsia="zh-CN"/>
              </w:rPr>
              <w:t>无</w:t>
            </w:r>
          </w:p>
        </w:tc>
        <w:tc>
          <w:tcPr>
            <w:tcW w:w="1929" w:type="dxa"/>
            <w:vAlign w:val="top"/>
          </w:tcPr>
          <w:p w14:paraId="03FA37B1">
            <w:pPr>
              <w:pStyle w:val="10"/>
            </w:pPr>
          </w:p>
        </w:tc>
        <w:tc>
          <w:tcPr>
            <w:tcW w:w="4067" w:type="dxa"/>
            <w:vAlign w:val="top"/>
          </w:tcPr>
          <w:p w14:paraId="3A0A336F">
            <w:pPr>
              <w:pStyle w:val="10"/>
            </w:pPr>
          </w:p>
        </w:tc>
        <w:tc>
          <w:tcPr>
            <w:tcW w:w="3138" w:type="dxa"/>
            <w:vAlign w:val="top"/>
          </w:tcPr>
          <w:p w14:paraId="16F2895F">
            <w:pPr>
              <w:pStyle w:val="10"/>
            </w:pPr>
          </w:p>
        </w:tc>
        <w:tc>
          <w:tcPr>
            <w:tcW w:w="1204" w:type="dxa"/>
            <w:vAlign w:val="top"/>
          </w:tcPr>
          <w:p w14:paraId="6C98A4FB">
            <w:pPr>
              <w:pStyle w:val="10"/>
            </w:pPr>
          </w:p>
        </w:tc>
      </w:tr>
      <w:tr w14:paraId="4CE23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004" w:type="dxa"/>
            <w:vAlign w:val="top"/>
          </w:tcPr>
          <w:p w14:paraId="5FCCCFAC">
            <w:pPr>
              <w:pStyle w:val="10"/>
            </w:pPr>
          </w:p>
        </w:tc>
        <w:tc>
          <w:tcPr>
            <w:tcW w:w="2998" w:type="dxa"/>
            <w:vAlign w:val="top"/>
          </w:tcPr>
          <w:p w14:paraId="6C5E4545">
            <w:pPr>
              <w:pStyle w:val="10"/>
            </w:pPr>
          </w:p>
        </w:tc>
        <w:tc>
          <w:tcPr>
            <w:tcW w:w="1929" w:type="dxa"/>
            <w:vAlign w:val="top"/>
          </w:tcPr>
          <w:p w14:paraId="0821D133">
            <w:pPr>
              <w:pStyle w:val="10"/>
            </w:pPr>
          </w:p>
        </w:tc>
        <w:tc>
          <w:tcPr>
            <w:tcW w:w="4067" w:type="dxa"/>
            <w:vAlign w:val="top"/>
          </w:tcPr>
          <w:p w14:paraId="2002C1B1">
            <w:pPr>
              <w:pStyle w:val="10"/>
            </w:pPr>
          </w:p>
        </w:tc>
        <w:tc>
          <w:tcPr>
            <w:tcW w:w="3138" w:type="dxa"/>
            <w:vAlign w:val="top"/>
          </w:tcPr>
          <w:p w14:paraId="7B8CF8F2">
            <w:pPr>
              <w:pStyle w:val="10"/>
            </w:pPr>
          </w:p>
        </w:tc>
        <w:tc>
          <w:tcPr>
            <w:tcW w:w="1204" w:type="dxa"/>
            <w:vAlign w:val="top"/>
          </w:tcPr>
          <w:p w14:paraId="206EA911">
            <w:pPr>
              <w:pStyle w:val="10"/>
            </w:pPr>
          </w:p>
        </w:tc>
      </w:tr>
      <w:tr w14:paraId="417B8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04" w:type="dxa"/>
            <w:vAlign w:val="top"/>
          </w:tcPr>
          <w:p w14:paraId="204EF313">
            <w:pPr>
              <w:pStyle w:val="10"/>
            </w:pPr>
          </w:p>
        </w:tc>
        <w:tc>
          <w:tcPr>
            <w:tcW w:w="2998" w:type="dxa"/>
            <w:vAlign w:val="top"/>
          </w:tcPr>
          <w:p w14:paraId="36A42C13">
            <w:pPr>
              <w:pStyle w:val="10"/>
            </w:pPr>
          </w:p>
        </w:tc>
        <w:tc>
          <w:tcPr>
            <w:tcW w:w="1929" w:type="dxa"/>
            <w:vAlign w:val="top"/>
          </w:tcPr>
          <w:p w14:paraId="7107023C">
            <w:pPr>
              <w:pStyle w:val="10"/>
            </w:pPr>
          </w:p>
        </w:tc>
        <w:tc>
          <w:tcPr>
            <w:tcW w:w="4067" w:type="dxa"/>
            <w:vAlign w:val="top"/>
          </w:tcPr>
          <w:p w14:paraId="6004C17D">
            <w:pPr>
              <w:pStyle w:val="10"/>
            </w:pPr>
          </w:p>
        </w:tc>
        <w:tc>
          <w:tcPr>
            <w:tcW w:w="3138" w:type="dxa"/>
            <w:vAlign w:val="top"/>
          </w:tcPr>
          <w:p w14:paraId="02BA5764">
            <w:pPr>
              <w:pStyle w:val="10"/>
            </w:pPr>
          </w:p>
        </w:tc>
        <w:tc>
          <w:tcPr>
            <w:tcW w:w="1204" w:type="dxa"/>
            <w:vAlign w:val="top"/>
          </w:tcPr>
          <w:p w14:paraId="0C02ECDA">
            <w:pPr>
              <w:pStyle w:val="10"/>
            </w:pPr>
          </w:p>
        </w:tc>
      </w:tr>
      <w:tr w14:paraId="22FA7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004" w:type="dxa"/>
            <w:vAlign w:val="top"/>
          </w:tcPr>
          <w:p w14:paraId="635C87FD">
            <w:pPr>
              <w:pStyle w:val="10"/>
            </w:pPr>
          </w:p>
        </w:tc>
        <w:tc>
          <w:tcPr>
            <w:tcW w:w="2998" w:type="dxa"/>
            <w:vAlign w:val="top"/>
          </w:tcPr>
          <w:p w14:paraId="6FE005C0">
            <w:pPr>
              <w:pStyle w:val="10"/>
            </w:pPr>
          </w:p>
        </w:tc>
        <w:tc>
          <w:tcPr>
            <w:tcW w:w="1929" w:type="dxa"/>
            <w:vAlign w:val="top"/>
          </w:tcPr>
          <w:p w14:paraId="4436DFE7">
            <w:pPr>
              <w:pStyle w:val="10"/>
            </w:pPr>
          </w:p>
        </w:tc>
        <w:tc>
          <w:tcPr>
            <w:tcW w:w="4067" w:type="dxa"/>
            <w:vAlign w:val="top"/>
          </w:tcPr>
          <w:p w14:paraId="1E2EDDA7">
            <w:pPr>
              <w:pStyle w:val="10"/>
            </w:pPr>
          </w:p>
        </w:tc>
        <w:tc>
          <w:tcPr>
            <w:tcW w:w="3138" w:type="dxa"/>
            <w:vAlign w:val="top"/>
          </w:tcPr>
          <w:p w14:paraId="6B109E02">
            <w:pPr>
              <w:pStyle w:val="10"/>
            </w:pPr>
          </w:p>
        </w:tc>
        <w:tc>
          <w:tcPr>
            <w:tcW w:w="1204" w:type="dxa"/>
            <w:vAlign w:val="top"/>
          </w:tcPr>
          <w:p w14:paraId="5B300734">
            <w:pPr>
              <w:pStyle w:val="10"/>
            </w:pPr>
          </w:p>
        </w:tc>
      </w:tr>
      <w:tr w14:paraId="6F743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04" w:type="dxa"/>
            <w:vAlign w:val="top"/>
          </w:tcPr>
          <w:p w14:paraId="542C94DD">
            <w:pPr>
              <w:pStyle w:val="10"/>
            </w:pPr>
          </w:p>
        </w:tc>
        <w:tc>
          <w:tcPr>
            <w:tcW w:w="2998" w:type="dxa"/>
            <w:vAlign w:val="top"/>
          </w:tcPr>
          <w:p w14:paraId="1A665219">
            <w:pPr>
              <w:pStyle w:val="10"/>
            </w:pPr>
          </w:p>
        </w:tc>
        <w:tc>
          <w:tcPr>
            <w:tcW w:w="1929" w:type="dxa"/>
            <w:vAlign w:val="top"/>
          </w:tcPr>
          <w:p w14:paraId="70D71626">
            <w:pPr>
              <w:pStyle w:val="10"/>
            </w:pPr>
          </w:p>
        </w:tc>
        <w:tc>
          <w:tcPr>
            <w:tcW w:w="4067" w:type="dxa"/>
            <w:vAlign w:val="top"/>
          </w:tcPr>
          <w:p w14:paraId="38086791">
            <w:pPr>
              <w:pStyle w:val="10"/>
            </w:pPr>
          </w:p>
        </w:tc>
        <w:tc>
          <w:tcPr>
            <w:tcW w:w="3138" w:type="dxa"/>
            <w:vAlign w:val="top"/>
          </w:tcPr>
          <w:p w14:paraId="6D27483D">
            <w:pPr>
              <w:pStyle w:val="10"/>
            </w:pPr>
          </w:p>
        </w:tc>
        <w:tc>
          <w:tcPr>
            <w:tcW w:w="1204" w:type="dxa"/>
            <w:vAlign w:val="top"/>
          </w:tcPr>
          <w:p w14:paraId="53508ACF">
            <w:pPr>
              <w:pStyle w:val="10"/>
            </w:pPr>
          </w:p>
        </w:tc>
      </w:tr>
      <w:tr w14:paraId="1279E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004" w:type="dxa"/>
            <w:vAlign w:val="top"/>
          </w:tcPr>
          <w:p w14:paraId="1CA1F79A">
            <w:pPr>
              <w:pStyle w:val="10"/>
            </w:pPr>
          </w:p>
        </w:tc>
        <w:tc>
          <w:tcPr>
            <w:tcW w:w="2998" w:type="dxa"/>
            <w:vAlign w:val="top"/>
          </w:tcPr>
          <w:p w14:paraId="181400CC">
            <w:pPr>
              <w:pStyle w:val="10"/>
            </w:pPr>
          </w:p>
        </w:tc>
        <w:tc>
          <w:tcPr>
            <w:tcW w:w="1929" w:type="dxa"/>
            <w:vAlign w:val="top"/>
          </w:tcPr>
          <w:p w14:paraId="6ADC8328">
            <w:pPr>
              <w:pStyle w:val="10"/>
            </w:pPr>
          </w:p>
        </w:tc>
        <w:tc>
          <w:tcPr>
            <w:tcW w:w="4067" w:type="dxa"/>
            <w:vAlign w:val="top"/>
          </w:tcPr>
          <w:p w14:paraId="3C08E534">
            <w:pPr>
              <w:pStyle w:val="10"/>
            </w:pPr>
          </w:p>
        </w:tc>
        <w:tc>
          <w:tcPr>
            <w:tcW w:w="3138" w:type="dxa"/>
            <w:vAlign w:val="top"/>
          </w:tcPr>
          <w:p w14:paraId="47E02F2D">
            <w:pPr>
              <w:pStyle w:val="10"/>
            </w:pPr>
          </w:p>
        </w:tc>
        <w:tc>
          <w:tcPr>
            <w:tcW w:w="1204" w:type="dxa"/>
            <w:vAlign w:val="top"/>
          </w:tcPr>
          <w:p w14:paraId="3E09ED0C">
            <w:pPr>
              <w:pStyle w:val="10"/>
            </w:pPr>
          </w:p>
        </w:tc>
      </w:tr>
    </w:tbl>
    <w:p w14:paraId="069C345F">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44"/>
          <w:szCs w:val="44"/>
          <w:lang w:val="en-US" w:eastAsia="zh-CN"/>
        </w:rPr>
      </w:pPr>
    </w:p>
    <w:p w14:paraId="0229054A">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44"/>
          <w:szCs w:val="44"/>
          <w:lang w:val="en-US" w:eastAsia="zh-CN"/>
        </w:rPr>
      </w:pPr>
    </w:p>
    <w:p w14:paraId="60876A1F">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44"/>
          <w:szCs w:val="44"/>
          <w:lang w:val="en-US" w:eastAsia="zh-CN"/>
        </w:rPr>
      </w:pPr>
    </w:p>
    <w:p w14:paraId="618304B2">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lang w:val="en-US" w:eastAsia="zh-CN"/>
        </w:rPr>
      </w:pPr>
    </w:p>
    <w:p w14:paraId="02A94002">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lang w:val="en-US" w:eastAsia="zh-CN"/>
        </w:rPr>
      </w:pPr>
    </w:p>
    <w:p w14:paraId="0B45C39A">
      <w:pPr>
        <w:rPr>
          <w:rFonts w:hint="eastAsia" w:eastAsiaTheme="minorEastAsia"/>
          <w:lang w:eastAsia="zh-CN"/>
        </w:rPr>
      </w:pPr>
    </w:p>
    <w:sectPr>
      <w:footerReference r:id="rId6" w:type="default"/>
      <w:pgSz w:w="16830" w:h="11900"/>
      <w:pgMar w:top="1011" w:right="1636" w:bottom="1135" w:left="1524" w:header="0" w:footer="1009"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9A5C19-FA11-4C42-BEFC-7069CD967175}"/>
  </w:font>
  <w:font w:name="黑体">
    <w:panose1 w:val="02010609060101010101"/>
    <w:charset w:val="86"/>
    <w:family w:val="auto"/>
    <w:pitch w:val="default"/>
    <w:sig w:usb0="800002BF" w:usb1="38CF7CFA" w:usb2="00000016" w:usb3="00000000" w:csb0="00040001" w:csb1="00000000"/>
    <w:embedRegular r:id="rId2" w:fontKey="{A0B65B47-7ECD-4B2D-81CB-8CD994F87F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BAFB1006-6A94-4C7D-B548-70CC7F9E7B8F}"/>
  </w:font>
  <w:font w:name="方正小标宋简体">
    <w:altName w:val="Arial Unicode MS"/>
    <w:panose1 w:val="02000000000000000000"/>
    <w:charset w:val="86"/>
    <w:family w:val="auto"/>
    <w:pitch w:val="default"/>
    <w:sig w:usb0="00000000" w:usb1="00000000" w:usb2="00000012" w:usb3="00000000" w:csb0="00040001" w:csb1="00000000"/>
    <w:embedRegular r:id="rId4" w:fontKey="{AE75184D-0992-4EEA-A86F-5AB06FBF80D3}"/>
  </w:font>
  <w:font w:name="方正楷体_GBK">
    <w:altName w:val="Arial Unicode MS"/>
    <w:panose1 w:val="02000000000000000000"/>
    <w:charset w:val="86"/>
    <w:family w:val="auto"/>
    <w:pitch w:val="default"/>
    <w:sig w:usb0="00000000" w:usb1="00000000" w:usb2="00000000" w:usb3="00000000" w:csb0="00040000" w:csb1="00000000"/>
    <w:embedRegular r:id="rId5" w:fontKey="{3BEEB305-9362-449A-8131-7008748AB733}"/>
  </w:font>
  <w:font w:name="仿宋_GB2312">
    <w:altName w:val="仿宋"/>
    <w:panose1 w:val="02010609030101010101"/>
    <w:charset w:val="86"/>
    <w:family w:val="auto"/>
    <w:pitch w:val="default"/>
    <w:sig w:usb0="00000000" w:usb1="00000000" w:usb2="00000000" w:usb3="00000000" w:csb0="00040000" w:csb1="00000000"/>
    <w:embedRegular r:id="rId6" w:fontKey="{356803A3-B50B-4EE3-8698-5F5B60C41A0E}"/>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0ACF1">
    <w:pPr>
      <w:spacing w:line="173" w:lineRule="auto"/>
      <w:jc w:val="right"/>
      <w:rPr>
        <w:rFonts w:ascii="宋体" w:hAnsi="宋体" w:eastAsia="宋体" w:cs="宋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02591">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802591">
                    <w:pPr>
                      <w:pStyle w:val="3"/>
                    </w:pPr>
                    <w:r>
                      <w:fldChar w:fldCharType="begin"/>
                    </w:r>
                    <w:r>
                      <w:instrText xml:space="preserve"> PAGE  \* MERGEFORMAT </w:instrText>
                    </w:r>
                    <w:r>
                      <w:fldChar w:fldCharType="separate"/>
                    </w:r>
                    <w:r>
                      <w:t>4</w:t>
                    </w:r>
                    <w:r>
                      <w:fldChar w:fldCharType="end"/>
                    </w:r>
                  </w:p>
                </w:txbxContent>
              </v:textbox>
            </v:shape>
          </w:pict>
        </mc:Fallback>
      </mc:AlternateContent>
    </w:r>
    <w:r>
      <w:rPr>
        <w:rFonts w:ascii="宋体" w:hAnsi="宋体" w:eastAsia="宋体" w:cs="宋体"/>
        <w:spacing w:val="-9"/>
        <w:w w:val="63"/>
        <w:sz w:val="20"/>
        <w:szCs w:val="20"/>
      </w:rPr>
      <w:t>—8</w:t>
    </w:r>
    <w:r>
      <w:rPr>
        <w:rFonts w:ascii="宋体" w:hAnsi="宋体" w:eastAsia="宋体" w:cs="宋体"/>
        <w:spacing w:val="-6"/>
        <w:w w:val="63"/>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4045">
    <w:pPr>
      <w:spacing w:line="174" w:lineRule="auto"/>
      <w:jc w:val="right"/>
      <w:rPr>
        <w:rFonts w:ascii="宋体" w:hAnsi="宋体" w:eastAsia="宋体" w:cs="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9C7FD">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29C7FD">
                    <w:pPr>
                      <w:pStyle w:val="3"/>
                    </w:pPr>
                    <w:r>
                      <w:fldChar w:fldCharType="begin"/>
                    </w:r>
                    <w:r>
                      <w:instrText xml:space="preserve"> PAGE  \* MERGEFORMAT </w:instrText>
                    </w:r>
                    <w:r>
                      <w:fldChar w:fldCharType="separate"/>
                    </w:r>
                    <w:r>
                      <w:t>5</w:t>
                    </w:r>
                    <w:r>
                      <w:fldChar w:fldCharType="end"/>
                    </w:r>
                  </w:p>
                </w:txbxContent>
              </v:textbox>
            </v:shape>
          </w:pict>
        </mc:Fallback>
      </mc:AlternateContent>
    </w:r>
    <w:r>
      <w:rPr>
        <w:rFonts w:ascii="宋体" w:hAnsi="宋体" w:eastAsia="宋体" w:cs="宋体"/>
        <w:spacing w:val="-8"/>
        <w:w w:val="59"/>
        <w:sz w:val="21"/>
        <w:szCs w:val="21"/>
      </w:rPr>
      <w:t>—</w:t>
    </w:r>
    <w:r>
      <w:rPr>
        <w:rFonts w:ascii="宋体" w:hAnsi="宋体" w:eastAsia="宋体" w:cs="宋体"/>
        <w:spacing w:val="-7"/>
        <w:w w:val="59"/>
        <w:sz w:val="21"/>
        <w:szCs w:val="21"/>
      </w:rPr>
      <w:t>9</w:t>
    </w:r>
    <w:r>
      <w:rPr>
        <w:rFonts w:ascii="宋体" w:hAnsi="宋体" w:eastAsia="宋体" w:cs="宋体"/>
        <w:spacing w:val="-6"/>
        <w:w w:val="59"/>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3E727">
    <w:pPr>
      <w:spacing w:line="174" w:lineRule="auto"/>
      <w:ind w:right="3"/>
      <w:jc w:val="right"/>
      <w:rPr>
        <w:rFonts w:ascii="宋体" w:hAnsi="宋体" w:eastAsia="宋体" w:cs="宋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A6610">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6A6610">
                    <w:pPr>
                      <w:pStyle w:val="3"/>
                    </w:pPr>
                    <w:r>
                      <w:fldChar w:fldCharType="begin"/>
                    </w:r>
                    <w:r>
                      <w:instrText xml:space="preserve"> PAGE  \* MERGEFORMAT </w:instrText>
                    </w:r>
                    <w:r>
                      <w:fldChar w:fldCharType="separate"/>
                    </w:r>
                    <w:r>
                      <w:t>6</w:t>
                    </w:r>
                    <w:r>
                      <w:fldChar w:fldCharType="end"/>
                    </w:r>
                  </w:p>
                </w:txbxContent>
              </v:textbox>
            </v:shape>
          </w:pict>
        </mc:Fallback>
      </mc:AlternateContent>
    </w:r>
    <w:r>
      <w:rPr>
        <w:rFonts w:ascii="宋体" w:hAnsi="宋体" w:eastAsia="宋体" w:cs="宋体"/>
        <w:spacing w:val="-7"/>
        <w:w w:val="67"/>
        <w:sz w:val="20"/>
        <w:szCs w:val="20"/>
      </w:rPr>
      <w:t>—</w:t>
    </w:r>
    <w:r>
      <w:rPr>
        <w:rFonts w:ascii="宋体" w:hAnsi="宋体" w:eastAsia="宋体" w:cs="宋体"/>
        <w:spacing w:val="-30"/>
        <w:sz w:val="20"/>
        <w:szCs w:val="20"/>
      </w:rPr>
      <w:t>1</w:t>
    </w:r>
    <w:r>
      <w:rPr>
        <w:rFonts w:ascii="宋体" w:hAnsi="宋体" w:eastAsia="宋体" w:cs="宋体"/>
        <w:spacing w:val="-29"/>
        <w:sz w:val="20"/>
        <w:szCs w:val="20"/>
      </w:rPr>
      <w:t>0</w:t>
    </w:r>
    <w:r>
      <w:rPr>
        <w:rFonts w:ascii="宋体" w:hAnsi="宋体" w:eastAsia="宋体" w:cs="宋体"/>
        <w:spacing w:val="-10"/>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C54A5">
    <w:pPr>
      <w:spacing w:line="173" w:lineRule="auto"/>
      <w:jc w:val="right"/>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FA5BB">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7EFA5BB">
                    <w:pPr>
                      <w:pStyle w:val="3"/>
                    </w:pPr>
                    <w:r>
                      <w:fldChar w:fldCharType="begin"/>
                    </w:r>
                    <w:r>
                      <w:instrText xml:space="preserve"> PAGE  \* MERGEFORMAT </w:instrText>
                    </w:r>
                    <w:r>
                      <w:fldChar w:fldCharType="separate"/>
                    </w:r>
                    <w:r>
                      <w:t>7</w:t>
                    </w:r>
                    <w:r>
                      <w:fldChar w:fldCharType="end"/>
                    </w:r>
                  </w:p>
                </w:txbxContent>
              </v:textbox>
            </v:shape>
          </w:pict>
        </mc:Fallback>
      </mc:AlternateContent>
    </w:r>
    <w:r>
      <w:rPr>
        <w:rFonts w:ascii="Times New Roman" w:hAnsi="Times New Roman" w:eastAsia="Times New Roman" w:cs="Times New Roman"/>
        <w:spacing w:val="-12"/>
        <w:sz w:val="14"/>
        <w:szCs w:val="14"/>
      </w:rPr>
      <w:t>1</w:t>
    </w:r>
    <w:r>
      <w:rPr>
        <w:rFonts w:ascii="Times New Roman" w:hAnsi="Times New Roman" w:eastAsia="Times New Roman" w:cs="Times New Roman"/>
        <w:spacing w:val="-6"/>
        <w:sz w:val="14"/>
        <w:szCs w:val="14"/>
      </w:rPr>
      <w:t>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YmEwMjE1OWU0NWFlY2ZmYjBjYTI0ZTM4NGMyNTYifQ=="/>
    <w:docVar w:name="KSO_WPS_MARK_KEY" w:val="7f9bb32a-8c22-424c-9f58-ea16587370ed"/>
  </w:docVars>
  <w:rsids>
    <w:rsidRoot w:val="6FC533CA"/>
    <w:rsid w:val="05F477B7"/>
    <w:rsid w:val="0A012AA8"/>
    <w:rsid w:val="0C6C0BA2"/>
    <w:rsid w:val="13833F28"/>
    <w:rsid w:val="19DA7C05"/>
    <w:rsid w:val="1A75753A"/>
    <w:rsid w:val="239368BF"/>
    <w:rsid w:val="2759385D"/>
    <w:rsid w:val="28B66485"/>
    <w:rsid w:val="29F21DBB"/>
    <w:rsid w:val="2D6D1673"/>
    <w:rsid w:val="2DC845C5"/>
    <w:rsid w:val="2F2750E7"/>
    <w:rsid w:val="31F167D5"/>
    <w:rsid w:val="32A52CEF"/>
    <w:rsid w:val="348677A7"/>
    <w:rsid w:val="39FF1245"/>
    <w:rsid w:val="488D17EC"/>
    <w:rsid w:val="4F0C2A48"/>
    <w:rsid w:val="53467F4E"/>
    <w:rsid w:val="5C757E7F"/>
    <w:rsid w:val="5F860B68"/>
    <w:rsid w:val="60716BAF"/>
    <w:rsid w:val="62285198"/>
    <w:rsid w:val="65DC58E5"/>
    <w:rsid w:val="6FC533CA"/>
    <w:rsid w:val="7323078C"/>
    <w:rsid w:val="74A94712"/>
    <w:rsid w:val="74B33E59"/>
    <w:rsid w:val="7CB65EF7"/>
    <w:rsid w:val="7F543D80"/>
    <w:rsid w:val="97D759AD"/>
    <w:rsid w:val="EFDB9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paragraph" w:customStyle="1" w:styleId="1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5987</Words>
  <Characters>6057</Characters>
  <Lines>0</Lines>
  <Paragraphs>0</Paragraphs>
  <TotalTime>17</TotalTime>
  <ScaleCrop>false</ScaleCrop>
  <LinksUpToDate>false</LinksUpToDate>
  <CharactersWithSpaces>6106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2024-06-21T18:03:00Z</dcterms:created>
  <dc:creator>陈 雪</dc:creator>
  <cp:lastModifiedBy>邓炜</cp:lastModifiedBy>
  <dcterms:modified xsi:type="dcterms:W3CDTF">2024-08-28T09:10:40Z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AC268591479B4F8695853D8C88BD191F_13</vt:lpwstr>
  </property>
</Properties>
</file>